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4C9" w:rsidRDefault="00B444C9" w:rsidP="00FA2E95">
      <w:pPr>
        <w:pStyle w:val="Heading1"/>
        <w:rPr>
          <w:rFonts w:ascii="Calibri" w:hAnsi="Calibri"/>
          <w:b/>
          <w:color w:val="1F497D"/>
          <w:sz w:val="24"/>
          <w:szCs w:val="24"/>
          <w:lang w:val="ro-RO"/>
        </w:rPr>
      </w:pPr>
      <w:bookmarkStart w:id="0" w:name="_Toc490652333"/>
      <w:bookmarkStart w:id="1" w:name="_Toc445808248"/>
    </w:p>
    <w:p w:rsidR="00B444C9" w:rsidRDefault="00B444C9" w:rsidP="00847A17">
      <w:pPr>
        <w:pStyle w:val="Heading1"/>
        <w:tabs>
          <w:tab w:val="left" w:pos="2268"/>
          <w:tab w:val="left" w:pos="3686"/>
        </w:tabs>
        <w:spacing w:before="0"/>
        <w:jc w:val="center"/>
        <w:rPr>
          <w:rFonts w:ascii="Calibri" w:hAnsi="Calibri"/>
          <w:b/>
          <w:color w:val="1F497D"/>
          <w:sz w:val="24"/>
          <w:szCs w:val="24"/>
          <w:lang w:val="ro-RO"/>
        </w:rPr>
      </w:pPr>
      <w:r>
        <w:rPr>
          <w:rFonts w:ascii="Calibri" w:hAnsi="Calibri"/>
          <w:b/>
          <w:color w:val="1F497D"/>
          <w:sz w:val="24"/>
          <w:szCs w:val="24"/>
          <w:lang w:val="ro-RO"/>
        </w:rPr>
        <w:t xml:space="preserve">CRITERIILE E - </w:t>
      </w:r>
      <w:r w:rsidRPr="002067AF">
        <w:rPr>
          <w:rFonts w:ascii="Calibri" w:hAnsi="Calibri"/>
          <w:b/>
          <w:color w:val="1F497D"/>
          <w:sz w:val="24"/>
          <w:szCs w:val="24"/>
          <w:lang w:val="ro-RO"/>
        </w:rPr>
        <w:t xml:space="preserve"> </w:t>
      </w:r>
      <w:bookmarkEnd w:id="0"/>
      <w:r>
        <w:rPr>
          <w:rFonts w:ascii="Calibri" w:hAnsi="Calibri"/>
          <w:b/>
          <w:color w:val="1F497D"/>
          <w:sz w:val="24"/>
          <w:szCs w:val="24"/>
          <w:lang w:val="ro-RO"/>
        </w:rPr>
        <w:t>EVALUAREA ELIGIBILITĂȚII</w:t>
      </w:r>
    </w:p>
    <w:p w:rsidR="00B444C9" w:rsidRPr="0090567A" w:rsidRDefault="00B444C9" w:rsidP="00B444C9">
      <w:pPr>
        <w:spacing w:before="0"/>
        <w:rPr>
          <w:i/>
          <w:lang w:val="ro-RO"/>
        </w:rPr>
      </w:pPr>
      <w:r w:rsidRPr="0090567A">
        <w:rPr>
          <w:rFonts w:asciiTheme="minorHAnsi" w:hAnsiTheme="minorHAnsi"/>
          <w:i/>
          <w:color w:val="1F497D"/>
          <w:lang w:val="ro-RO"/>
        </w:rPr>
        <w:t>*pentru a putea intra în următoarea etapă de evaluare, trebuie să</w:t>
      </w:r>
      <w:r w:rsidRPr="0090567A">
        <w:rPr>
          <w:i/>
          <w:lang w:val="ro-RO"/>
        </w:rPr>
        <w:t xml:space="preserve"> </w:t>
      </w:r>
      <w:r w:rsidRPr="0090567A">
        <w:rPr>
          <w:rFonts w:asciiTheme="minorHAnsi" w:hAnsiTheme="minorHAnsi"/>
          <w:i/>
          <w:color w:val="1F497D"/>
          <w:lang w:val="ro-RO"/>
        </w:rPr>
        <w:t>obțină Da la toate criteriile</w:t>
      </w:r>
    </w:p>
    <w:p w:rsidR="00995C1C" w:rsidRPr="00910593" w:rsidRDefault="00995C1C" w:rsidP="00910593">
      <w:pPr>
        <w:rPr>
          <w:color w:val="1F497D"/>
          <w:lang w:val="ro-RO"/>
        </w:rPr>
      </w:pPr>
      <w:bookmarkStart w:id="2" w:name="_Toc445808249"/>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
        <w:gridCol w:w="6774"/>
        <w:gridCol w:w="5907"/>
      </w:tblGrid>
      <w:tr w:rsidR="005546B0" w:rsidRPr="00004568" w:rsidTr="005546B0">
        <w:trPr>
          <w:trHeight w:val="269"/>
        </w:trPr>
        <w:tc>
          <w:tcPr>
            <w:tcW w:w="247" w:type="pct"/>
            <w:vMerge w:val="restart"/>
            <w:tcBorders>
              <w:top w:val="single" w:sz="12" w:space="0" w:color="auto"/>
              <w:left w:val="single" w:sz="12" w:space="0" w:color="auto"/>
              <w:right w:val="single" w:sz="12" w:space="0" w:color="auto"/>
            </w:tcBorders>
            <w:shd w:val="clear" w:color="auto" w:fill="F2DBDB" w:themeFill="accent2" w:themeFillTint="33"/>
            <w:vAlign w:val="center"/>
          </w:tcPr>
          <w:p w:rsidR="005546B0" w:rsidRPr="00004568" w:rsidRDefault="005546B0" w:rsidP="00F5275D">
            <w:pPr>
              <w:spacing w:before="0"/>
              <w:rPr>
                <w:rFonts w:asciiTheme="minorHAnsi" w:hAnsiTheme="minorHAnsi"/>
                <w:b/>
                <w:color w:val="1F497D"/>
                <w:lang w:val="ro-RO"/>
              </w:rPr>
            </w:pPr>
          </w:p>
        </w:tc>
        <w:tc>
          <w:tcPr>
            <w:tcW w:w="2539" w:type="pct"/>
            <w:vMerge w:val="restart"/>
            <w:tcBorders>
              <w:top w:val="single" w:sz="12" w:space="0" w:color="auto"/>
              <w:left w:val="single" w:sz="12" w:space="0" w:color="auto"/>
              <w:right w:val="single" w:sz="12" w:space="0" w:color="auto"/>
            </w:tcBorders>
            <w:shd w:val="clear" w:color="auto" w:fill="F2DBDB" w:themeFill="accent2" w:themeFillTint="33"/>
          </w:tcPr>
          <w:p w:rsidR="005546B0" w:rsidRPr="00770A61" w:rsidRDefault="005546B0" w:rsidP="00FA2E95">
            <w:pPr>
              <w:spacing w:before="0"/>
              <w:jc w:val="center"/>
              <w:rPr>
                <w:rFonts w:asciiTheme="minorHAnsi" w:hAnsiTheme="minorHAnsi"/>
                <w:b/>
                <w:color w:val="1F497D"/>
                <w:lang w:val="ro-RO"/>
              </w:rPr>
            </w:pPr>
            <w:r w:rsidRPr="00770A61">
              <w:rPr>
                <w:rFonts w:asciiTheme="minorHAnsi" w:hAnsiTheme="minorHAnsi"/>
                <w:b/>
                <w:color w:val="1F497D"/>
                <w:lang w:val="ro-RO"/>
              </w:rPr>
              <w:t>Criteriile E</w:t>
            </w:r>
          </w:p>
        </w:tc>
        <w:tc>
          <w:tcPr>
            <w:tcW w:w="2214" w:type="pct"/>
            <w:vMerge w:val="restart"/>
            <w:tcBorders>
              <w:top w:val="single" w:sz="12" w:space="0" w:color="auto"/>
              <w:left w:val="single" w:sz="12" w:space="0" w:color="auto"/>
              <w:right w:val="single" w:sz="12" w:space="0" w:color="auto"/>
            </w:tcBorders>
            <w:shd w:val="clear" w:color="auto" w:fill="F2DBDB" w:themeFill="accent2" w:themeFillTint="33"/>
          </w:tcPr>
          <w:p w:rsidR="005546B0" w:rsidRPr="00770A61" w:rsidRDefault="005546B0" w:rsidP="00FA2E95">
            <w:pPr>
              <w:pStyle w:val="ResponsecategsChar"/>
              <w:tabs>
                <w:tab w:val="right" w:leader="dot" w:pos="4464"/>
              </w:tabs>
              <w:ind w:left="0" w:firstLine="0"/>
              <w:jc w:val="center"/>
              <w:rPr>
                <w:rFonts w:asciiTheme="minorHAnsi" w:hAnsiTheme="minorHAnsi" w:cs="Segoe UI"/>
                <w:b/>
                <w:color w:val="1F497D"/>
                <w:sz w:val="22"/>
                <w:szCs w:val="22"/>
                <w:lang w:val="ro-RO" w:eastAsia="en-US"/>
              </w:rPr>
            </w:pPr>
            <w:r w:rsidRPr="00770A61">
              <w:rPr>
                <w:rFonts w:asciiTheme="minorHAnsi" w:eastAsia="MS Mincho" w:hAnsiTheme="minorHAnsi" w:cs="Arial"/>
                <w:b/>
                <w:color w:val="17365D"/>
                <w:sz w:val="22"/>
                <w:szCs w:val="22"/>
                <w:lang w:val="ro-RO"/>
              </w:rPr>
              <w:t>Explica</w:t>
            </w:r>
            <w:r w:rsidRPr="00770A61">
              <w:rPr>
                <w:rFonts w:asciiTheme="minorHAnsi" w:eastAsia="MS Mincho" w:hAnsiTheme="minorHAnsi"/>
                <w:b/>
                <w:color w:val="17365D"/>
                <w:sz w:val="22"/>
                <w:szCs w:val="22"/>
                <w:lang w:val="ro-RO"/>
              </w:rPr>
              <w:t>ț</w:t>
            </w:r>
            <w:r w:rsidRPr="00770A61">
              <w:rPr>
                <w:rFonts w:asciiTheme="minorHAnsi" w:eastAsia="MS Mincho" w:hAnsiTheme="minorHAnsi" w:cs="Arial"/>
                <w:b/>
                <w:color w:val="17365D"/>
                <w:sz w:val="22"/>
                <w:szCs w:val="22"/>
                <w:lang w:val="ro-RO"/>
              </w:rPr>
              <w:t>ii (documente care se verifică)</w:t>
            </w:r>
          </w:p>
        </w:tc>
      </w:tr>
      <w:tr w:rsidR="005546B0" w:rsidRPr="00004568" w:rsidTr="005546B0">
        <w:trPr>
          <w:trHeight w:val="269"/>
        </w:trPr>
        <w:tc>
          <w:tcPr>
            <w:tcW w:w="247" w:type="pct"/>
            <w:vMerge/>
            <w:tcBorders>
              <w:left w:val="single" w:sz="12" w:space="0" w:color="auto"/>
              <w:bottom w:val="single" w:sz="12" w:space="0" w:color="auto"/>
              <w:right w:val="single" w:sz="12" w:space="0" w:color="auto"/>
            </w:tcBorders>
            <w:shd w:val="clear" w:color="auto" w:fill="F2DBDB" w:themeFill="accent2" w:themeFillTint="33"/>
            <w:vAlign w:val="center"/>
          </w:tcPr>
          <w:p w:rsidR="005546B0" w:rsidRPr="00004568" w:rsidRDefault="005546B0" w:rsidP="00F5275D">
            <w:pPr>
              <w:spacing w:before="0"/>
              <w:rPr>
                <w:rFonts w:asciiTheme="minorHAnsi" w:hAnsiTheme="minorHAnsi"/>
                <w:color w:val="1F497D"/>
                <w:lang w:val="ro-RO"/>
              </w:rPr>
            </w:pPr>
          </w:p>
        </w:tc>
        <w:tc>
          <w:tcPr>
            <w:tcW w:w="2539" w:type="pct"/>
            <w:vMerge/>
            <w:tcBorders>
              <w:left w:val="single" w:sz="12" w:space="0" w:color="auto"/>
              <w:bottom w:val="single" w:sz="12" w:space="0" w:color="auto"/>
              <w:right w:val="single" w:sz="12" w:space="0" w:color="auto"/>
            </w:tcBorders>
            <w:shd w:val="clear" w:color="auto" w:fill="F2DBDB" w:themeFill="accent2" w:themeFillTint="33"/>
          </w:tcPr>
          <w:p w:rsidR="005546B0" w:rsidRPr="00770A61" w:rsidRDefault="005546B0" w:rsidP="00FA2E95">
            <w:pPr>
              <w:spacing w:before="0"/>
              <w:jc w:val="center"/>
              <w:rPr>
                <w:rFonts w:asciiTheme="minorHAnsi" w:hAnsiTheme="minorHAnsi"/>
                <w:b/>
                <w:color w:val="1F497D"/>
                <w:lang w:val="ro-RO"/>
              </w:rPr>
            </w:pPr>
          </w:p>
        </w:tc>
        <w:tc>
          <w:tcPr>
            <w:tcW w:w="2214" w:type="pct"/>
            <w:vMerge/>
            <w:tcBorders>
              <w:left w:val="single" w:sz="12" w:space="0" w:color="auto"/>
              <w:bottom w:val="single" w:sz="12" w:space="0" w:color="auto"/>
              <w:right w:val="single" w:sz="12" w:space="0" w:color="auto"/>
            </w:tcBorders>
            <w:shd w:val="clear" w:color="auto" w:fill="F2DBDB" w:themeFill="accent2" w:themeFillTint="33"/>
          </w:tcPr>
          <w:p w:rsidR="005546B0" w:rsidRPr="00770A61" w:rsidRDefault="005546B0" w:rsidP="00FA2E95">
            <w:pPr>
              <w:pStyle w:val="ResponsecategsChar"/>
              <w:tabs>
                <w:tab w:val="right" w:leader="dot" w:pos="4464"/>
              </w:tabs>
              <w:ind w:left="0" w:firstLine="0"/>
              <w:jc w:val="center"/>
              <w:rPr>
                <w:rFonts w:asciiTheme="minorHAnsi" w:hAnsiTheme="minorHAnsi"/>
                <w:b/>
                <w:color w:val="1F497D" w:themeColor="text2"/>
                <w:sz w:val="22"/>
                <w:szCs w:val="22"/>
                <w:lang w:val="ro-RO"/>
              </w:rPr>
            </w:pPr>
          </w:p>
        </w:tc>
      </w:tr>
      <w:tr w:rsidR="005546B0" w:rsidRPr="00004568" w:rsidTr="005546B0">
        <w:tc>
          <w:tcPr>
            <w:tcW w:w="247" w:type="pct"/>
            <w:tcBorders>
              <w:top w:val="single" w:sz="12" w:space="0" w:color="auto"/>
            </w:tcBorders>
            <w:vAlign w:val="center"/>
          </w:tcPr>
          <w:p w:rsidR="005546B0" w:rsidRPr="00004568" w:rsidRDefault="005546B0" w:rsidP="00F5275D">
            <w:pPr>
              <w:spacing w:before="0"/>
              <w:rPr>
                <w:rFonts w:asciiTheme="minorHAnsi" w:hAnsiTheme="minorHAnsi"/>
                <w:color w:val="1F497D"/>
                <w:lang w:val="ro-RO"/>
              </w:rPr>
            </w:pPr>
            <w:r w:rsidRPr="00004568">
              <w:rPr>
                <w:rFonts w:asciiTheme="minorHAnsi" w:hAnsiTheme="minorHAnsi"/>
                <w:color w:val="1F497D"/>
                <w:lang w:val="ro-RO"/>
              </w:rPr>
              <w:t>1.</w:t>
            </w:r>
          </w:p>
        </w:tc>
        <w:tc>
          <w:tcPr>
            <w:tcW w:w="2539" w:type="pct"/>
            <w:tcBorders>
              <w:top w:val="single" w:sz="12" w:space="0" w:color="auto"/>
            </w:tcBorders>
          </w:tcPr>
          <w:p w:rsidR="005546B0" w:rsidRPr="00423A7A" w:rsidRDefault="005546B0" w:rsidP="00F5275D">
            <w:pPr>
              <w:spacing w:before="0"/>
              <w:rPr>
                <w:rFonts w:asciiTheme="minorHAnsi" w:hAnsiTheme="minorHAnsi"/>
                <w:color w:val="1F497D"/>
                <w:lang w:val="ro-RO"/>
              </w:rPr>
            </w:pPr>
            <w:r w:rsidRPr="00423A7A">
              <w:rPr>
                <w:rFonts w:asciiTheme="minorHAnsi" w:hAnsiTheme="minorHAnsi"/>
                <w:color w:val="1F497D"/>
                <w:lang w:val="ro-RO"/>
              </w:rPr>
              <w:t xml:space="preserve">Intervențiile POR/POCU propuse în cadrul listei indicative se încadrează în domeniile eligibile ale celor 2 programe, așa cum sunt enunțate în Modelul Cadru de SDL (cap. 6.3) </w:t>
            </w:r>
          </w:p>
        </w:tc>
        <w:tc>
          <w:tcPr>
            <w:tcW w:w="2214" w:type="pct"/>
            <w:tcBorders>
              <w:top w:val="single" w:sz="12" w:space="0" w:color="auto"/>
            </w:tcBorders>
          </w:tcPr>
          <w:p w:rsidR="005546B0" w:rsidRPr="00423A7A" w:rsidRDefault="005546B0" w:rsidP="00F5275D">
            <w:pPr>
              <w:pStyle w:val="ResponsecategsChar"/>
              <w:tabs>
                <w:tab w:val="right" w:leader="dot" w:pos="4464"/>
              </w:tabs>
              <w:ind w:left="0" w:firstLine="0"/>
              <w:jc w:val="both"/>
              <w:rPr>
                <w:rFonts w:asciiTheme="minorHAnsi" w:hAnsiTheme="minorHAnsi"/>
                <w:color w:val="1F497D" w:themeColor="text2"/>
                <w:sz w:val="22"/>
                <w:szCs w:val="22"/>
                <w:lang w:val="ro-RO"/>
              </w:rPr>
            </w:pPr>
            <w:r w:rsidRPr="00A41C03">
              <w:rPr>
                <w:rFonts w:asciiTheme="minorHAnsi" w:hAnsiTheme="minorHAnsi"/>
                <w:color w:val="1F497D" w:themeColor="text2"/>
                <w:sz w:val="22"/>
                <w:szCs w:val="22"/>
                <w:lang w:val="ro-RO"/>
              </w:rPr>
              <w:t>În situația în care, la nivelul bugetului SDL se constată încadrarea greșită a unor intervenții pentru finanțarea din POR/POCU, acestea vor fi semnalate de evaluatori pentru a fi reîncadrate de GAL în alte surse de finanțare</w:t>
            </w:r>
            <w:r w:rsidRPr="00423A7A">
              <w:rPr>
                <w:rFonts w:asciiTheme="minorHAnsi" w:hAnsiTheme="minorHAnsi"/>
                <w:color w:val="1F497D" w:themeColor="text2"/>
                <w:sz w:val="22"/>
                <w:szCs w:val="22"/>
                <w:lang w:val="ro-RO"/>
              </w:rPr>
              <w:t xml:space="preserve">  </w:t>
            </w:r>
          </w:p>
          <w:p w:rsidR="005546B0" w:rsidRPr="00423A7A" w:rsidRDefault="005546B0" w:rsidP="00F5275D">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r>
      <w:tr w:rsidR="005546B0" w:rsidRPr="00004568" w:rsidTr="005546B0">
        <w:tc>
          <w:tcPr>
            <w:tcW w:w="247" w:type="pct"/>
            <w:vAlign w:val="center"/>
          </w:tcPr>
          <w:p w:rsidR="005546B0" w:rsidRPr="00004568" w:rsidRDefault="005546B0" w:rsidP="00F5275D">
            <w:pPr>
              <w:spacing w:before="0"/>
              <w:rPr>
                <w:rFonts w:asciiTheme="minorHAnsi" w:hAnsiTheme="minorHAnsi"/>
                <w:color w:val="1F497D"/>
                <w:lang w:val="ro-RO"/>
              </w:rPr>
            </w:pPr>
            <w:r>
              <w:rPr>
                <w:rFonts w:asciiTheme="minorHAnsi" w:hAnsiTheme="minorHAnsi"/>
                <w:color w:val="1F497D"/>
                <w:lang w:val="ro-RO"/>
              </w:rPr>
              <w:t>2.</w:t>
            </w:r>
          </w:p>
        </w:tc>
        <w:tc>
          <w:tcPr>
            <w:tcW w:w="2539" w:type="pct"/>
          </w:tcPr>
          <w:p w:rsidR="005546B0" w:rsidRDefault="005546B0" w:rsidP="001F4394">
            <w:pPr>
              <w:tabs>
                <w:tab w:val="left" w:pos="0"/>
              </w:tabs>
              <w:spacing w:before="0"/>
              <w:rPr>
                <w:rFonts w:asciiTheme="minorHAnsi" w:hAnsiTheme="minorHAnsi"/>
                <w:color w:val="1F497D"/>
                <w:lang w:val="ro-RO"/>
              </w:rPr>
            </w:pPr>
            <w:r>
              <w:rPr>
                <w:rFonts w:asciiTheme="minorHAnsi" w:hAnsiTheme="minorHAnsi"/>
                <w:color w:val="1F497D"/>
                <w:lang w:val="ro-RO"/>
              </w:rPr>
              <w:t>Planul</w:t>
            </w:r>
            <w:r w:rsidRPr="00004568">
              <w:rPr>
                <w:rFonts w:asciiTheme="minorHAnsi" w:hAnsiTheme="minorHAnsi"/>
                <w:color w:val="1F497D"/>
                <w:lang w:val="ro-RO"/>
              </w:rPr>
              <w:t xml:space="preserve"> de acțiune </w:t>
            </w:r>
            <w:r>
              <w:rPr>
                <w:rFonts w:asciiTheme="minorHAnsi" w:hAnsiTheme="minorHAnsi"/>
                <w:color w:val="1F497D"/>
                <w:lang w:val="ro-RO"/>
              </w:rPr>
              <w:t xml:space="preserve">al SDL are </w:t>
            </w:r>
            <w:r w:rsidRPr="001F4394">
              <w:rPr>
                <w:rFonts w:asciiTheme="minorHAnsi" w:hAnsiTheme="minorHAnsi"/>
                <w:color w:val="1F497D"/>
                <w:lang w:val="ro-RO"/>
              </w:rPr>
              <w:t>caracter integrat la nivelul teritoriului selectat</w:t>
            </w:r>
            <w:r>
              <w:rPr>
                <w:rFonts w:asciiTheme="minorHAnsi" w:hAnsiTheme="minorHAnsi"/>
                <w:color w:val="1F497D"/>
                <w:lang w:val="ro-RO"/>
              </w:rPr>
              <w:t xml:space="preserve"> și vizează măsuri </w:t>
            </w:r>
            <w:r w:rsidRPr="001F4394">
              <w:rPr>
                <w:rFonts w:asciiTheme="minorHAnsi" w:hAnsiTheme="minorHAnsi"/>
                <w:color w:val="1F497D"/>
                <w:lang w:val="ro-RO"/>
              </w:rPr>
              <w:t xml:space="preserve"> multisectorial</w:t>
            </w:r>
            <w:r>
              <w:rPr>
                <w:rFonts w:asciiTheme="minorHAnsi" w:hAnsiTheme="minorHAnsi"/>
                <w:color w:val="1F497D"/>
                <w:lang w:val="ro-RO"/>
              </w:rPr>
              <w:t>e:</w:t>
            </w:r>
          </w:p>
          <w:p w:rsidR="005546B0" w:rsidRDefault="005546B0" w:rsidP="001F4394">
            <w:pPr>
              <w:pStyle w:val="ListParagraph"/>
              <w:numPr>
                <w:ilvl w:val="0"/>
                <w:numId w:val="51"/>
              </w:numPr>
              <w:spacing w:before="60" w:after="60"/>
              <w:ind w:left="714" w:hanging="357"/>
              <w:contextualSpacing w:val="0"/>
              <w:rPr>
                <w:rFonts w:asciiTheme="minorHAnsi" w:hAnsiTheme="minorHAnsi"/>
                <w:color w:val="1F497D"/>
                <w:lang w:val="ro-RO"/>
              </w:rPr>
            </w:pPr>
            <w:r w:rsidRPr="001F4394">
              <w:rPr>
                <w:rFonts w:asciiTheme="minorHAnsi" w:hAnsiTheme="minorHAnsi"/>
                <w:color w:val="1F497D"/>
                <w:lang w:val="ro-RO"/>
              </w:rPr>
              <w:t xml:space="preserve">Intervențiile FEDR din cadrul SDL vizează cel puțin două din tipurile de acțiuni finanțabile prin POR și </w:t>
            </w:r>
          </w:p>
          <w:p w:rsidR="005546B0" w:rsidRPr="00BC52F7" w:rsidRDefault="005546B0" w:rsidP="00BC52F7">
            <w:pPr>
              <w:pStyle w:val="ListParagraph"/>
              <w:numPr>
                <w:ilvl w:val="0"/>
                <w:numId w:val="51"/>
              </w:numPr>
              <w:spacing w:before="0"/>
              <w:rPr>
                <w:rFonts w:asciiTheme="minorHAnsi" w:hAnsiTheme="minorHAnsi"/>
                <w:color w:val="1F497D"/>
                <w:lang w:val="ro-RO"/>
              </w:rPr>
            </w:pPr>
            <w:r>
              <w:rPr>
                <w:rFonts w:asciiTheme="minorHAnsi" w:hAnsiTheme="minorHAnsi"/>
                <w:color w:val="1F497D"/>
                <w:lang w:val="ro-RO"/>
              </w:rPr>
              <w:t>I</w:t>
            </w:r>
            <w:r w:rsidRPr="001F4394">
              <w:rPr>
                <w:rFonts w:asciiTheme="minorHAnsi" w:hAnsiTheme="minorHAnsi"/>
                <w:color w:val="1F497D"/>
                <w:lang w:val="ro-RO"/>
              </w:rPr>
              <w:t>ntervențiile FSE vizează acțiuni integrate (pachete integrate de măsuri în funcție de  nevoile grupurilor țintă vizate), în sensul abordării a cel puțin două domenii de intervenție (educație, ocupare, servicii sociale, asistență socială, combaterea discriminării etc.);</w:t>
            </w:r>
          </w:p>
        </w:tc>
        <w:tc>
          <w:tcPr>
            <w:tcW w:w="2214" w:type="pct"/>
          </w:tcPr>
          <w:p w:rsidR="005546B0" w:rsidRPr="00293C1E" w:rsidRDefault="005546B0" w:rsidP="001F4394">
            <w:pPr>
              <w:pStyle w:val="ResponsecategsChar"/>
              <w:numPr>
                <w:ilvl w:val="0"/>
                <w:numId w:val="52"/>
              </w:numPr>
              <w:tabs>
                <w:tab w:val="right" w:leader="dot" w:pos="4464"/>
              </w:tabs>
              <w:ind w:left="459" w:hanging="283"/>
              <w:jc w:val="both"/>
              <w:rPr>
                <w:rFonts w:asciiTheme="minorHAnsi" w:hAnsiTheme="minorHAnsi" w:cs="Segoe UI"/>
                <w:color w:val="1F497D"/>
                <w:sz w:val="22"/>
                <w:szCs w:val="22"/>
                <w:lang w:val="ro-RO" w:eastAsia="en-US"/>
              </w:rPr>
            </w:pPr>
            <w:r>
              <w:rPr>
                <w:rFonts w:asciiTheme="minorHAnsi" w:hAnsiTheme="minorHAnsi" w:cs="Segoe UI"/>
                <w:color w:val="1F497D"/>
                <w:sz w:val="22"/>
                <w:szCs w:val="22"/>
                <w:lang w:val="ro-RO" w:eastAsia="en-US"/>
              </w:rPr>
              <w:t>Ta</w:t>
            </w:r>
            <w:r w:rsidRPr="00293C1E">
              <w:rPr>
                <w:rFonts w:asciiTheme="minorHAnsi" w:hAnsiTheme="minorHAnsi" w:cs="Segoe UI"/>
                <w:color w:val="1F497D"/>
                <w:sz w:val="22"/>
                <w:szCs w:val="22"/>
                <w:lang w:val="ro-RO" w:eastAsia="en-US"/>
              </w:rPr>
              <w:t>bel 6 – Model Cadru SDL</w:t>
            </w:r>
          </w:p>
          <w:p w:rsidR="005546B0" w:rsidRPr="00293C1E" w:rsidRDefault="005546B0" w:rsidP="001F4394">
            <w:pPr>
              <w:pStyle w:val="ResponsecategsChar"/>
              <w:numPr>
                <w:ilvl w:val="0"/>
                <w:numId w:val="52"/>
              </w:numPr>
              <w:tabs>
                <w:tab w:val="right" w:leader="dot" w:pos="4464"/>
              </w:tabs>
              <w:ind w:left="459" w:hanging="283"/>
              <w:jc w:val="both"/>
              <w:rPr>
                <w:rFonts w:asciiTheme="minorHAnsi" w:hAnsiTheme="minorHAnsi" w:cs="Segoe UI"/>
                <w:color w:val="1F497D"/>
                <w:sz w:val="22"/>
                <w:szCs w:val="22"/>
                <w:lang w:val="ro-RO" w:eastAsia="en-US"/>
              </w:rPr>
            </w:pPr>
            <w:r w:rsidRPr="00293C1E">
              <w:rPr>
                <w:rFonts w:asciiTheme="minorHAnsi" w:hAnsiTheme="minorHAnsi" w:cs="Segoe UI"/>
                <w:color w:val="1F497D"/>
                <w:sz w:val="22"/>
                <w:szCs w:val="22"/>
                <w:lang w:val="ro-RO" w:eastAsia="en-US"/>
              </w:rPr>
              <w:t>Tabel 7 – Model Cadru SDL</w:t>
            </w:r>
          </w:p>
          <w:p w:rsidR="005546B0" w:rsidRDefault="005546B0" w:rsidP="001F4394">
            <w:pPr>
              <w:pStyle w:val="ResponsecategsChar"/>
              <w:tabs>
                <w:tab w:val="right" w:leader="dot" w:pos="4464"/>
              </w:tabs>
              <w:ind w:left="254" w:firstLine="0"/>
              <w:jc w:val="both"/>
              <w:rPr>
                <w:rFonts w:asciiTheme="minorHAnsi" w:hAnsiTheme="minorHAnsi" w:cs="Segoe UI"/>
                <w:color w:val="1F497D"/>
                <w:sz w:val="22"/>
                <w:szCs w:val="22"/>
                <w:lang w:val="ro-RO" w:eastAsia="en-US"/>
              </w:rPr>
            </w:pPr>
            <w:r>
              <w:rPr>
                <w:rFonts w:asciiTheme="minorHAnsi" w:hAnsiTheme="minorHAnsi" w:cs="Segoe UI"/>
                <w:color w:val="1F497D"/>
                <w:sz w:val="22"/>
                <w:szCs w:val="22"/>
                <w:lang w:val="ro-RO" w:eastAsia="en-US"/>
              </w:rPr>
              <w:t>(Anexele 18 și 19 SDL)</w:t>
            </w:r>
          </w:p>
          <w:p w:rsidR="005546B0" w:rsidRPr="00293C1E" w:rsidRDefault="005546B0" w:rsidP="001F4394">
            <w:pPr>
              <w:pStyle w:val="ResponsecategsChar"/>
              <w:tabs>
                <w:tab w:val="right" w:leader="dot" w:pos="4464"/>
              </w:tabs>
              <w:ind w:left="254" w:firstLine="0"/>
              <w:jc w:val="both"/>
              <w:rPr>
                <w:rFonts w:asciiTheme="minorHAnsi" w:hAnsiTheme="minorHAnsi" w:cs="Segoe UI"/>
                <w:color w:val="1F497D"/>
                <w:sz w:val="22"/>
                <w:szCs w:val="22"/>
                <w:lang w:val="ro-RO" w:eastAsia="en-US"/>
              </w:rPr>
            </w:pPr>
          </w:p>
          <w:p w:rsidR="005546B0" w:rsidRDefault="005546B0" w:rsidP="001F4394">
            <w:pPr>
              <w:pStyle w:val="ResponsecategsChar"/>
              <w:numPr>
                <w:ilvl w:val="0"/>
                <w:numId w:val="52"/>
              </w:numPr>
              <w:tabs>
                <w:tab w:val="right" w:leader="dot" w:pos="4464"/>
              </w:tabs>
              <w:ind w:left="459" w:hanging="283"/>
              <w:jc w:val="both"/>
              <w:rPr>
                <w:rFonts w:asciiTheme="minorHAnsi" w:hAnsiTheme="minorHAnsi"/>
                <w:color w:val="1F497D" w:themeColor="text2"/>
                <w:sz w:val="22"/>
                <w:szCs w:val="22"/>
                <w:lang w:val="ro-RO"/>
              </w:rPr>
            </w:pPr>
            <w:r w:rsidRPr="00293C1E">
              <w:rPr>
                <w:rFonts w:asciiTheme="minorHAnsi" w:hAnsiTheme="minorHAnsi"/>
                <w:color w:val="1F497D" w:themeColor="text2"/>
                <w:sz w:val="22"/>
                <w:szCs w:val="22"/>
                <w:lang w:val="ro-RO"/>
              </w:rPr>
              <w:t>fișele aferente intervențiilor FEDR</w:t>
            </w:r>
          </w:p>
          <w:p w:rsidR="005546B0" w:rsidRPr="001F4394" w:rsidRDefault="005546B0" w:rsidP="001F4394">
            <w:pPr>
              <w:pStyle w:val="ResponsecategsChar"/>
              <w:tabs>
                <w:tab w:val="right" w:leader="dot" w:pos="4464"/>
              </w:tabs>
              <w:ind w:left="176" w:firstLine="0"/>
              <w:jc w:val="both"/>
              <w:rPr>
                <w:rFonts w:asciiTheme="minorHAnsi" w:hAnsiTheme="minorHAnsi"/>
                <w:color w:val="1F497D" w:themeColor="text2"/>
                <w:sz w:val="22"/>
                <w:szCs w:val="22"/>
                <w:lang w:val="ro-RO"/>
              </w:rPr>
            </w:pPr>
          </w:p>
          <w:p w:rsidR="005546B0" w:rsidRPr="002761DE" w:rsidRDefault="005546B0" w:rsidP="001F4394">
            <w:pPr>
              <w:pStyle w:val="ResponsecategsChar"/>
              <w:numPr>
                <w:ilvl w:val="0"/>
                <w:numId w:val="52"/>
              </w:numPr>
              <w:tabs>
                <w:tab w:val="right" w:leader="dot" w:pos="4464"/>
              </w:tabs>
              <w:ind w:left="459" w:hanging="283"/>
              <w:jc w:val="both"/>
              <w:rPr>
                <w:rFonts w:asciiTheme="minorHAnsi" w:hAnsiTheme="minorHAnsi"/>
                <w:color w:val="1F497D" w:themeColor="text2"/>
                <w:lang w:val="ro-RO"/>
              </w:rPr>
            </w:pPr>
            <w:r w:rsidRPr="002761DE">
              <w:rPr>
                <w:rFonts w:asciiTheme="minorHAnsi" w:hAnsiTheme="minorHAnsi"/>
                <w:color w:val="1F497D" w:themeColor="text2"/>
                <w:sz w:val="22"/>
                <w:szCs w:val="22"/>
                <w:lang w:val="ro-RO"/>
              </w:rPr>
              <w:t>fișele aferente intervențiilor FSE</w:t>
            </w:r>
          </w:p>
          <w:p w:rsidR="005546B0" w:rsidRPr="001F4394" w:rsidRDefault="005546B0" w:rsidP="001F4394">
            <w:pPr>
              <w:pStyle w:val="ResponsecategsChar"/>
              <w:tabs>
                <w:tab w:val="right" w:leader="dot" w:pos="4464"/>
              </w:tabs>
              <w:ind w:left="720" w:firstLine="0"/>
              <w:jc w:val="both"/>
              <w:rPr>
                <w:rFonts w:asciiTheme="minorHAnsi" w:hAnsiTheme="minorHAnsi"/>
                <w:color w:val="1F497D" w:themeColor="text2"/>
                <w:sz w:val="22"/>
                <w:szCs w:val="22"/>
                <w:lang w:val="ro-RO"/>
              </w:rPr>
            </w:pPr>
          </w:p>
        </w:tc>
      </w:tr>
      <w:tr w:rsidR="005546B0" w:rsidRPr="00004568" w:rsidTr="005546B0">
        <w:tc>
          <w:tcPr>
            <w:tcW w:w="247" w:type="pct"/>
            <w:vAlign w:val="center"/>
          </w:tcPr>
          <w:p w:rsidR="005546B0" w:rsidRPr="00004568" w:rsidRDefault="005546B0" w:rsidP="00F5275D">
            <w:pPr>
              <w:spacing w:before="0"/>
              <w:rPr>
                <w:rFonts w:asciiTheme="minorHAnsi" w:hAnsiTheme="minorHAnsi"/>
                <w:color w:val="1F497D"/>
                <w:lang w:val="ro-RO"/>
              </w:rPr>
            </w:pPr>
            <w:r>
              <w:rPr>
                <w:rFonts w:asciiTheme="minorHAnsi" w:hAnsiTheme="minorHAnsi"/>
                <w:color w:val="1F497D"/>
                <w:lang w:val="ro-RO"/>
              </w:rPr>
              <w:t>3.</w:t>
            </w:r>
          </w:p>
        </w:tc>
        <w:tc>
          <w:tcPr>
            <w:tcW w:w="2539" w:type="pct"/>
          </w:tcPr>
          <w:p w:rsidR="005546B0" w:rsidRPr="007950EF" w:rsidRDefault="005546B0" w:rsidP="001F4394">
            <w:pPr>
              <w:tabs>
                <w:tab w:val="left" w:pos="30"/>
              </w:tabs>
              <w:spacing w:before="0" w:after="120"/>
              <w:ind w:right="72"/>
              <w:rPr>
                <w:rFonts w:asciiTheme="minorHAnsi" w:hAnsiTheme="minorHAnsi"/>
                <w:i/>
                <w:color w:val="1F497D" w:themeColor="text2"/>
                <w:lang w:val="ro-RO"/>
              </w:rPr>
            </w:pPr>
            <w:r w:rsidRPr="001F4394">
              <w:rPr>
                <w:rFonts w:asciiTheme="minorHAnsi" w:hAnsiTheme="minorHAnsi"/>
                <w:color w:val="1F497D" w:themeColor="text2"/>
                <w:lang w:val="ro-RO"/>
              </w:rPr>
              <w:t>Se asigură complementaritatea  intervențiilor soft/hard</w:t>
            </w:r>
            <w:r>
              <w:rPr>
                <w:rFonts w:asciiTheme="minorHAnsi" w:hAnsiTheme="minorHAnsi"/>
                <w:color w:val="1F497D" w:themeColor="text2"/>
                <w:lang w:val="ro-RO"/>
              </w:rPr>
              <w:t xml:space="preserve"> </w:t>
            </w:r>
            <w:r w:rsidR="00CF25AD">
              <w:rPr>
                <w:rFonts w:asciiTheme="minorHAnsi" w:hAnsiTheme="minorHAnsi"/>
                <w:i/>
                <w:color w:val="C00000"/>
                <w:lang w:val="ro-RO"/>
              </w:rPr>
              <w:t xml:space="preserve">la nivel de SDL și </w:t>
            </w:r>
            <w:r w:rsidRPr="007950EF">
              <w:rPr>
                <w:rFonts w:asciiTheme="minorHAnsi" w:hAnsiTheme="minorHAnsi"/>
                <w:i/>
                <w:color w:val="C00000"/>
                <w:lang w:val="ro-RO"/>
              </w:rPr>
              <w:t xml:space="preserve"> nu</w:t>
            </w:r>
            <w:r w:rsidR="00703AAB">
              <w:rPr>
                <w:rFonts w:asciiTheme="minorHAnsi" w:hAnsiTheme="minorHAnsi"/>
                <w:i/>
                <w:color w:val="C00000"/>
                <w:lang w:val="ro-RO"/>
              </w:rPr>
              <w:t xml:space="preserve"> </w:t>
            </w:r>
            <w:bookmarkStart w:id="3" w:name="_GoBack"/>
            <w:bookmarkEnd w:id="3"/>
            <w:r w:rsidR="00CF25AD">
              <w:rPr>
                <w:rFonts w:asciiTheme="minorHAnsi" w:hAnsiTheme="minorHAnsi"/>
                <w:i/>
                <w:color w:val="C00000"/>
                <w:lang w:val="ro-RO"/>
              </w:rPr>
              <w:t xml:space="preserve">la nivel </w:t>
            </w:r>
            <w:r w:rsidRPr="007950EF">
              <w:rPr>
                <w:rFonts w:asciiTheme="minorHAnsi" w:hAnsiTheme="minorHAnsi"/>
                <w:i/>
                <w:color w:val="C00000"/>
                <w:lang w:val="ro-RO"/>
              </w:rPr>
              <w:t xml:space="preserve"> de măsură</w:t>
            </w:r>
            <w:r w:rsidRPr="007950EF">
              <w:rPr>
                <w:rFonts w:asciiTheme="minorHAnsi" w:hAnsiTheme="minorHAnsi"/>
                <w:i/>
                <w:color w:val="1F497D" w:themeColor="text2"/>
                <w:lang w:val="ro-RO"/>
              </w:rPr>
              <w:t xml:space="preserve"> </w:t>
            </w:r>
          </w:p>
          <w:p w:rsidR="005546B0" w:rsidRPr="00423A7A" w:rsidRDefault="005546B0" w:rsidP="00F5275D">
            <w:pPr>
              <w:spacing w:before="0"/>
              <w:rPr>
                <w:rFonts w:asciiTheme="minorHAnsi" w:hAnsiTheme="minorHAnsi"/>
                <w:color w:val="1F497D"/>
                <w:lang w:val="ro-RO"/>
              </w:rPr>
            </w:pPr>
          </w:p>
        </w:tc>
        <w:tc>
          <w:tcPr>
            <w:tcW w:w="2214" w:type="pct"/>
          </w:tcPr>
          <w:p w:rsidR="005546B0" w:rsidRPr="00B94B5A" w:rsidRDefault="005546B0" w:rsidP="00F5275D">
            <w:pPr>
              <w:pStyle w:val="ResponsecategsChar"/>
              <w:numPr>
                <w:ilvl w:val="0"/>
                <w:numId w:val="46"/>
              </w:numPr>
              <w:tabs>
                <w:tab w:val="right" w:leader="dot" w:pos="4464"/>
              </w:tabs>
              <w:ind w:left="254" w:hanging="254"/>
              <w:jc w:val="both"/>
              <w:rPr>
                <w:rFonts w:asciiTheme="minorHAnsi" w:hAnsiTheme="minorHAnsi" w:cs="Segoe UI"/>
                <w:color w:val="1F497D"/>
                <w:sz w:val="22"/>
                <w:szCs w:val="22"/>
                <w:lang w:val="ro-RO" w:eastAsia="en-US"/>
              </w:rPr>
            </w:pPr>
            <w:r w:rsidRPr="00B94B5A">
              <w:rPr>
                <w:rFonts w:asciiTheme="minorHAnsi" w:hAnsiTheme="minorHAnsi" w:cs="Segoe UI"/>
                <w:color w:val="1F497D"/>
                <w:sz w:val="22"/>
                <w:szCs w:val="22"/>
                <w:lang w:val="ro-RO" w:eastAsia="en-US"/>
              </w:rPr>
              <w:t>Tabel 7 – Model Cadru SDL</w:t>
            </w:r>
            <w:r>
              <w:rPr>
                <w:rFonts w:asciiTheme="minorHAnsi" w:hAnsiTheme="minorHAnsi" w:cs="Segoe UI"/>
                <w:color w:val="1F497D"/>
                <w:sz w:val="22"/>
                <w:szCs w:val="22"/>
                <w:lang w:val="ro-RO" w:eastAsia="en-US"/>
              </w:rPr>
              <w:t xml:space="preserve"> (Anexa 19 SDL)</w:t>
            </w:r>
          </w:p>
          <w:p w:rsidR="005546B0" w:rsidRPr="001F4394" w:rsidRDefault="005546B0" w:rsidP="00A41C03">
            <w:pPr>
              <w:pStyle w:val="ResponsecategsChar"/>
              <w:numPr>
                <w:ilvl w:val="0"/>
                <w:numId w:val="46"/>
              </w:numPr>
              <w:tabs>
                <w:tab w:val="right" w:leader="dot" w:pos="4464"/>
              </w:tabs>
              <w:ind w:left="254" w:hanging="254"/>
              <w:jc w:val="both"/>
              <w:rPr>
                <w:rFonts w:asciiTheme="minorHAnsi" w:hAnsiTheme="minorHAnsi"/>
                <w:color w:val="1F497D" w:themeColor="text2"/>
                <w:sz w:val="22"/>
                <w:szCs w:val="22"/>
                <w:lang w:val="ro-RO"/>
              </w:rPr>
            </w:pPr>
            <w:r w:rsidRPr="00004568">
              <w:rPr>
                <w:rFonts w:asciiTheme="minorHAnsi" w:hAnsiTheme="minorHAnsi" w:cs="Segoe UI"/>
                <w:color w:val="1F497D"/>
                <w:sz w:val="22"/>
                <w:szCs w:val="22"/>
                <w:lang w:val="ro-RO" w:eastAsia="en-US"/>
              </w:rPr>
              <w:t>Document suport J (</w:t>
            </w:r>
            <w:r w:rsidRPr="00004568">
              <w:rPr>
                <w:rFonts w:asciiTheme="minorHAnsi" w:hAnsiTheme="minorHAnsi" w:cs="Segoe UI"/>
                <w:i/>
                <w:color w:val="1F497D"/>
                <w:sz w:val="22"/>
                <w:szCs w:val="22"/>
                <w:lang w:val="ro-RO" w:eastAsia="en-US"/>
              </w:rPr>
              <w:t>exemplu Matrice de corespondență privind complementaritatea intervențiilor</w:t>
            </w:r>
            <w:r w:rsidRPr="00004568">
              <w:rPr>
                <w:rFonts w:asciiTheme="minorHAnsi" w:hAnsiTheme="minorHAnsi" w:cs="Segoe UI"/>
                <w:color w:val="1F497D"/>
                <w:sz w:val="22"/>
                <w:szCs w:val="22"/>
                <w:lang w:val="ro-RO" w:eastAsia="en-US"/>
              </w:rPr>
              <w:t>)</w:t>
            </w:r>
          </w:p>
        </w:tc>
      </w:tr>
      <w:tr w:rsidR="005546B0" w:rsidRPr="00004568" w:rsidTr="005546B0">
        <w:tc>
          <w:tcPr>
            <w:tcW w:w="247" w:type="pct"/>
            <w:vAlign w:val="center"/>
          </w:tcPr>
          <w:p w:rsidR="005546B0" w:rsidRPr="00004568" w:rsidRDefault="005546B0" w:rsidP="00F5275D">
            <w:pPr>
              <w:spacing w:before="0"/>
              <w:rPr>
                <w:rFonts w:asciiTheme="minorHAnsi" w:hAnsiTheme="minorHAnsi"/>
                <w:color w:val="1F497D"/>
                <w:lang w:val="ro-RO"/>
              </w:rPr>
            </w:pPr>
            <w:r>
              <w:rPr>
                <w:rFonts w:asciiTheme="minorHAnsi" w:hAnsiTheme="minorHAnsi"/>
                <w:color w:val="1F497D"/>
                <w:lang w:val="ro-RO"/>
              </w:rPr>
              <w:t>4</w:t>
            </w:r>
            <w:r w:rsidRPr="00004568">
              <w:rPr>
                <w:rFonts w:asciiTheme="minorHAnsi" w:hAnsiTheme="minorHAnsi"/>
                <w:color w:val="1F497D"/>
                <w:lang w:val="ro-RO"/>
              </w:rPr>
              <w:t>.</w:t>
            </w:r>
          </w:p>
        </w:tc>
        <w:tc>
          <w:tcPr>
            <w:tcW w:w="2539" w:type="pct"/>
          </w:tcPr>
          <w:p w:rsidR="005546B0" w:rsidRPr="00CB009D" w:rsidRDefault="005546B0" w:rsidP="00F5275D">
            <w:pPr>
              <w:spacing w:before="0"/>
              <w:rPr>
                <w:rFonts w:asciiTheme="minorHAnsi" w:hAnsiTheme="minorHAnsi"/>
                <w:color w:val="1F497D"/>
                <w:lang w:val="ro-RO"/>
              </w:rPr>
            </w:pPr>
            <w:r>
              <w:rPr>
                <w:rFonts w:asciiTheme="minorHAnsi" w:hAnsiTheme="minorHAnsi"/>
                <w:color w:val="1F497D" w:themeColor="text2"/>
                <w:lang w:val="ro-RO"/>
              </w:rPr>
              <w:t>B</w:t>
            </w:r>
            <w:r w:rsidRPr="002A5A5A">
              <w:rPr>
                <w:rFonts w:asciiTheme="minorHAnsi" w:hAnsiTheme="minorHAnsi"/>
                <w:color w:val="1F497D" w:themeColor="text2"/>
                <w:lang w:val="ro-RO"/>
              </w:rPr>
              <w:t xml:space="preserve">ugetul total POR+POCU al SDL nu depășește 7.000.000 euro în cazul regiunilor mai puțin dezvoltate/4.000.000 euro in cazul regiunii BI   </w:t>
            </w:r>
          </w:p>
        </w:tc>
        <w:tc>
          <w:tcPr>
            <w:tcW w:w="2214" w:type="pct"/>
          </w:tcPr>
          <w:p w:rsidR="005546B0" w:rsidRPr="00423A7A" w:rsidRDefault="005546B0" w:rsidP="00F5275D">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9B5A60">
              <w:rPr>
                <w:rFonts w:asciiTheme="minorHAnsi" w:hAnsiTheme="minorHAnsi" w:cs="Segoe UI"/>
                <w:color w:val="1F497D"/>
                <w:sz w:val="22"/>
                <w:szCs w:val="22"/>
                <w:lang w:val="ro-RO" w:eastAsia="en-US"/>
              </w:rPr>
              <w:t xml:space="preserve">Capitolul 8 SDL – Planul Financiar </w:t>
            </w:r>
            <w:r w:rsidRPr="009B5A60">
              <w:rPr>
                <w:rFonts w:asciiTheme="minorHAnsi" w:hAnsiTheme="minorHAnsi" w:cs="Segoe UI"/>
                <w:i/>
                <w:color w:val="1F497D"/>
                <w:sz w:val="22"/>
                <w:szCs w:val="22"/>
                <w:lang w:val="ro-RO" w:eastAsia="en-US"/>
              </w:rPr>
              <w:t>Document suport N (Exemplu de prezentare a bugetului SDL)</w:t>
            </w:r>
          </w:p>
        </w:tc>
      </w:tr>
      <w:tr w:rsidR="005546B0" w:rsidRPr="00004568" w:rsidTr="005546B0">
        <w:tc>
          <w:tcPr>
            <w:tcW w:w="247" w:type="pct"/>
            <w:vAlign w:val="center"/>
          </w:tcPr>
          <w:p w:rsidR="005546B0" w:rsidRPr="00004568" w:rsidRDefault="005546B0" w:rsidP="00F5275D">
            <w:pPr>
              <w:spacing w:before="0"/>
              <w:rPr>
                <w:rFonts w:asciiTheme="minorHAnsi" w:hAnsiTheme="minorHAnsi"/>
                <w:color w:val="1F497D"/>
                <w:lang w:val="ro-RO"/>
              </w:rPr>
            </w:pPr>
            <w:r>
              <w:rPr>
                <w:rFonts w:asciiTheme="minorHAnsi" w:hAnsiTheme="minorHAnsi"/>
                <w:color w:val="1F497D"/>
                <w:lang w:val="ro-RO"/>
              </w:rPr>
              <w:t>5</w:t>
            </w:r>
            <w:r w:rsidRPr="00004568">
              <w:rPr>
                <w:rFonts w:asciiTheme="minorHAnsi" w:hAnsiTheme="minorHAnsi"/>
                <w:color w:val="1F497D"/>
                <w:lang w:val="ro-RO"/>
              </w:rPr>
              <w:t>.</w:t>
            </w:r>
          </w:p>
        </w:tc>
        <w:tc>
          <w:tcPr>
            <w:tcW w:w="2539" w:type="pct"/>
          </w:tcPr>
          <w:p w:rsidR="005546B0" w:rsidRPr="00423A7A" w:rsidRDefault="005546B0" w:rsidP="00F5275D">
            <w:pPr>
              <w:spacing w:before="0"/>
              <w:rPr>
                <w:rFonts w:asciiTheme="minorHAnsi" w:hAnsiTheme="minorHAnsi"/>
                <w:color w:val="1F497D"/>
                <w:lang w:val="ro-RO"/>
              </w:rPr>
            </w:pPr>
            <w:r w:rsidRPr="002A5A5A">
              <w:rPr>
                <w:rFonts w:asciiTheme="minorHAnsi" w:hAnsiTheme="minorHAnsi" w:cs="TimesNewRomanPSMT"/>
                <w:color w:val="1F497D" w:themeColor="text2"/>
                <w:lang w:val="ro-RO"/>
              </w:rPr>
              <w:t>Un procent de minimum 10% din bugetul total al SDL este alocat intervențiilor finanțabile din Fondul European de Dezvoltare Regională, prin POR.</w:t>
            </w:r>
            <w:r w:rsidRPr="002A5A5A">
              <w:rPr>
                <w:rFonts w:asciiTheme="minorHAnsi" w:hAnsiTheme="minorHAnsi"/>
                <w:color w:val="1F497D" w:themeColor="text2"/>
                <w:lang w:val="ro-RO" w:eastAsia="ro-RO"/>
              </w:rPr>
              <w:t xml:space="preserve"> </w:t>
            </w:r>
          </w:p>
        </w:tc>
        <w:tc>
          <w:tcPr>
            <w:tcW w:w="2214" w:type="pct"/>
          </w:tcPr>
          <w:p w:rsidR="005546B0" w:rsidRPr="00423A7A" w:rsidRDefault="005546B0" w:rsidP="00F5275D">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9B5A60">
              <w:rPr>
                <w:rFonts w:asciiTheme="minorHAnsi" w:hAnsiTheme="minorHAnsi" w:cs="Segoe UI"/>
                <w:color w:val="1F497D"/>
                <w:sz w:val="22"/>
                <w:szCs w:val="22"/>
                <w:lang w:val="ro-RO" w:eastAsia="en-US"/>
              </w:rPr>
              <w:t xml:space="preserve">Capitolul 8 SDL – Planul Financiar </w:t>
            </w:r>
            <w:r w:rsidRPr="009B5A60">
              <w:rPr>
                <w:rFonts w:asciiTheme="minorHAnsi" w:hAnsiTheme="minorHAnsi" w:cs="Segoe UI"/>
                <w:i/>
                <w:color w:val="1F497D"/>
                <w:sz w:val="22"/>
                <w:szCs w:val="22"/>
                <w:lang w:val="ro-RO" w:eastAsia="en-US"/>
              </w:rPr>
              <w:t>Document suport N (Exemplu de prezentare a bugetului SDL)</w:t>
            </w:r>
          </w:p>
        </w:tc>
      </w:tr>
      <w:tr w:rsidR="005546B0" w:rsidRPr="00004568" w:rsidTr="005546B0">
        <w:tc>
          <w:tcPr>
            <w:tcW w:w="247" w:type="pct"/>
            <w:vAlign w:val="center"/>
          </w:tcPr>
          <w:p w:rsidR="005546B0" w:rsidRPr="00004568" w:rsidRDefault="005546B0" w:rsidP="00F5275D">
            <w:pPr>
              <w:spacing w:before="0"/>
              <w:rPr>
                <w:rFonts w:asciiTheme="minorHAnsi" w:hAnsiTheme="minorHAnsi"/>
                <w:color w:val="1F497D"/>
                <w:lang w:val="ro-RO"/>
              </w:rPr>
            </w:pPr>
            <w:r>
              <w:rPr>
                <w:rFonts w:asciiTheme="minorHAnsi" w:hAnsiTheme="minorHAnsi"/>
                <w:color w:val="1F497D"/>
                <w:lang w:val="ro-RO"/>
              </w:rPr>
              <w:t>6</w:t>
            </w:r>
            <w:r w:rsidRPr="00004568">
              <w:rPr>
                <w:rFonts w:asciiTheme="minorHAnsi" w:hAnsiTheme="minorHAnsi"/>
                <w:color w:val="1F497D"/>
                <w:lang w:val="ro-RO"/>
              </w:rPr>
              <w:t>.</w:t>
            </w:r>
          </w:p>
        </w:tc>
        <w:tc>
          <w:tcPr>
            <w:tcW w:w="2539" w:type="pct"/>
          </w:tcPr>
          <w:p w:rsidR="005546B0" w:rsidRPr="00423A7A" w:rsidRDefault="005546B0" w:rsidP="00F5275D">
            <w:pPr>
              <w:spacing w:before="0"/>
              <w:rPr>
                <w:rFonts w:asciiTheme="minorHAnsi" w:hAnsiTheme="minorHAnsi"/>
                <w:color w:val="1F497D"/>
                <w:lang w:val="ro-RO"/>
              </w:rPr>
            </w:pPr>
            <w:r w:rsidRPr="002A5A5A">
              <w:rPr>
                <w:rFonts w:asciiTheme="minorHAnsi" w:hAnsiTheme="minorHAnsi" w:cs="TimesNewRomanPSMT"/>
                <w:color w:val="1F497D" w:themeColor="text2"/>
                <w:lang w:val="ro-RO"/>
              </w:rPr>
              <w:t>Un procent de minimum 30% din bugetul total al SDL este alocat intervențiilor finanțabile din Fondul Social European, prin POCU.</w:t>
            </w:r>
          </w:p>
        </w:tc>
        <w:tc>
          <w:tcPr>
            <w:tcW w:w="2214" w:type="pct"/>
          </w:tcPr>
          <w:p w:rsidR="005546B0" w:rsidRPr="00423A7A" w:rsidRDefault="005546B0" w:rsidP="00F5275D">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9B5A60">
              <w:rPr>
                <w:rFonts w:asciiTheme="minorHAnsi" w:hAnsiTheme="minorHAnsi" w:cs="Segoe UI"/>
                <w:color w:val="1F497D"/>
                <w:sz w:val="22"/>
                <w:szCs w:val="22"/>
                <w:lang w:val="ro-RO" w:eastAsia="en-US"/>
              </w:rPr>
              <w:t xml:space="preserve">Capitolul 8 SDL – Planul Financiar </w:t>
            </w:r>
            <w:r w:rsidRPr="009B5A60">
              <w:rPr>
                <w:rFonts w:asciiTheme="minorHAnsi" w:hAnsiTheme="minorHAnsi" w:cs="Segoe UI"/>
                <w:i/>
                <w:color w:val="1F497D"/>
                <w:sz w:val="22"/>
                <w:szCs w:val="22"/>
                <w:lang w:val="ro-RO" w:eastAsia="en-US"/>
              </w:rPr>
              <w:t>Document suport N (Exemplu de prezentare a bugetului SDL)</w:t>
            </w:r>
          </w:p>
        </w:tc>
      </w:tr>
      <w:tr w:rsidR="005546B0" w:rsidRPr="00004568" w:rsidTr="005546B0">
        <w:tc>
          <w:tcPr>
            <w:tcW w:w="247" w:type="pct"/>
            <w:vAlign w:val="center"/>
          </w:tcPr>
          <w:p w:rsidR="005546B0" w:rsidRPr="00004568" w:rsidRDefault="005546B0" w:rsidP="00F5275D">
            <w:pPr>
              <w:spacing w:before="0"/>
              <w:rPr>
                <w:rFonts w:asciiTheme="minorHAnsi" w:hAnsiTheme="minorHAnsi"/>
                <w:color w:val="1F497D"/>
                <w:lang w:val="ro-RO"/>
              </w:rPr>
            </w:pPr>
            <w:r>
              <w:rPr>
                <w:rFonts w:asciiTheme="minorHAnsi" w:hAnsiTheme="minorHAnsi"/>
                <w:color w:val="1F497D"/>
                <w:lang w:val="ro-RO"/>
              </w:rPr>
              <w:t>7</w:t>
            </w:r>
            <w:r w:rsidRPr="00004568">
              <w:rPr>
                <w:rFonts w:asciiTheme="minorHAnsi" w:hAnsiTheme="minorHAnsi"/>
                <w:color w:val="1F497D"/>
                <w:lang w:val="ro-RO"/>
              </w:rPr>
              <w:t>.</w:t>
            </w:r>
          </w:p>
        </w:tc>
        <w:tc>
          <w:tcPr>
            <w:tcW w:w="2539" w:type="pct"/>
          </w:tcPr>
          <w:p w:rsidR="005546B0" w:rsidRPr="00423A7A" w:rsidRDefault="005546B0" w:rsidP="00F5275D">
            <w:pPr>
              <w:spacing w:before="0"/>
              <w:rPr>
                <w:rFonts w:asciiTheme="minorHAnsi" w:hAnsiTheme="minorHAnsi"/>
                <w:color w:val="1F497D"/>
                <w:lang w:val="ro-RO"/>
              </w:rPr>
            </w:pPr>
            <w:r w:rsidRPr="002A5A5A">
              <w:rPr>
                <w:rFonts w:asciiTheme="minorHAnsi" w:hAnsiTheme="minorHAnsi" w:cs="TimesNewRomanPSMT"/>
                <w:color w:val="1F497D" w:themeColor="text2"/>
                <w:lang w:val="ro-RO"/>
              </w:rPr>
              <w:t>Cheltuielile pentru funcționarea GAL nu depășesc 15% din alocarea aferentă intervențiilor finanțabile din Fondul Social European, prin POCU</w:t>
            </w:r>
          </w:p>
        </w:tc>
        <w:tc>
          <w:tcPr>
            <w:tcW w:w="2214" w:type="pct"/>
          </w:tcPr>
          <w:p w:rsidR="005546B0" w:rsidRPr="00423A7A" w:rsidRDefault="005546B0" w:rsidP="00F5275D">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9B5A60">
              <w:rPr>
                <w:rFonts w:asciiTheme="minorHAnsi" w:hAnsiTheme="minorHAnsi" w:cs="Segoe UI"/>
                <w:color w:val="1F497D"/>
                <w:sz w:val="22"/>
                <w:szCs w:val="22"/>
                <w:lang w:val="ro-RO" w:eastAsia="en-US"/>
              </w:rPr>
              <w:t xml:space="preserve">Capitolul 8 SDL – Planul Financiar </w:t>
            </w:r>
            <w:r w:rsidRPr="009B5A60">
              <w:rPr>
                <w:rFonts w:asciiTheme="minorHAnsi" w:hAnsiTheme="minorHAnsi" w:cs="Segoe UI"/>
                <w:i/>
                <w:color w:val="1F497D"/>
                <w:sz w:val="22"/>
                <w:szCs w:val="22"/>
                <w:lang w:val="ro-RO" w:eastAsia="en-US"/>
              </w:rPr>
              <w:t>Document suport N (Exemplu de prezentare a bugetului SDL)</w:t>
            </w:r>
            <w:r>
              <w:rPr>
                <w:rFonts w:asciiTheme="minorHAnsi" w:hAnsiTheme="minorHAnsi" w:cs="Segoe UI"/>
                <w:i/>
                <w:color w:val="1F497D"/>
                <w:sz w:val="22"/>
                <w:szCs w:val="22"/>
                <w:lang w:val="ro-RO" w:eastAsia="en-US"/>
              </w:rPr>
              <w:t>.</w:t>
            </w:r>
          </w:p>
        </w:tc>
      </w:tr>
      <w:tr w:rsidR="005546B0" w:rsidRPr="00004568" w:rsidTr="005546B0">
        <w:tc>
          <w:tcPr>
            <w:tcW w:w="247" w:type="pct"/>
            <w:vAlign w:val="center"/>
          </w:tcPr>
          <w:p w:rsidR="005546B0" w:rsidRDefault="005546B0" w:rsidP="00A41C03">
            <w:pPr>
              <w:spacing w:before="0"/>
              <w:rPr>
                <w:rFonts w:asciiTheme="minorHAnsi" w:hAnsiTheme="minorHAnsi"/>
                <w:color w:val="1F497D"/>
                <w:lang w:val="ro-RO"/>
              </w:rPr>
            </w:pPr>
            <w:r>
              <w:rPr>
                <w:rFonts w:asciiTheme="minorHAnsi" w:hAnsiTheme="minorHAnsi"/>
                <w:color w:val="1F497D"/>
                <w:lang w:val="ro-RO"/>
              </w:rPr>
              <w:t>8</w:t>
            </w:r>
            <w:r w:rsidRPr="00004568">
              <w:rPr>
                <w:rFonts w:asciiTheme="minorHAnsi" w:hAnsiTheme="minorHAnsi"/>
                <w:color w:val="1F497D"/>
                <w:lang w:val="ro-RO"/>
              </w:rPr>
              <w:t>.</w:t>
            </w:r>
          </w:p>
        </w:tc>
        <w:tc>
          <w:tcPr>
            <w:tcW w:w="2539" w:type="pct"/>
          </w:tcPr>
          <w:p w:rsidR="005546B0" w:rsidRPr="00E57E71" w:rsidRDefault="005546B0" w:rsidP="00A41C03">
            <w:pPr>
              <w:spacing w:before="0"/>
              <w:rPr>
                <w:rFonts w:asciiTheme="minorHAnsi" w:hAnsiTheme="minorHAnsi"/>
                <w:color w:val="1F497D"/>
                <w:lang w:val="ro-RO"/>
              </w:rPr>
            </w:pPr>
            <w:r w:rsidRPr="00B94B5A">
              <w:rPr>
                <w:rFonts w:asciiTheme="minorHAnsi" w:hAnsiTheme="minorHAnsi"/>
                <w:color w:val="1F497D" w:themeColor="text2"/>
                <w:lang w:val="ro-RO"/>
              </w:rPr>
              <w:t>Sprijinul FEDR pentru utilități publice și infrastructură rutieră (străzi urbane) nu depășește 30% din valoarea totală FEDR a pachetului integrat de proiecte care răspund nevoilor comunităților marginalizate.</w:t>
            </w:r>
          </w:p>
        </w:tc>
        <w:tc>
          <w:tcPr>
            <w:tcW w:w="2214" w:type="pct"/>
          </w:tcPr>
          <w:p w:rsidR="005546B0" w:rsidRPr="00C45D33" w:rsidRDefault="005546B0" w:rsidP="00A41C03">
            <w:pPr>
              <w:pStyle w:val="ResponsecategsChar"/>
              <w:tabs>
                <w:tab w:val="right" w:leader="dot" w:pos="4464"/>
              </w:tabs>
              <w:ind w:left="34" w:firstLine="0"/>
              <w:jc w:val="both"/>
              <w:rPr>
                <w:rFonts w:asciiTheme="minorHAnsi" w:hAnsiTheme="minorHAnsi"/>
                <w:color w:val="1F497D" w:themeColor="text2"/>
                <w:sz w:val="22"/>
                <w:szCs w:val="22"/>
                <w:lang w:val="ro-RO"/>
              </w:rPr>
            </w:pPr>
            <w:r w:rsidRPr="00C45D33">
              <w:rPr>
                <w:rFonts w:asciiTheme="minorHAnsi" w:hAnsiTheme="minorHAnsi"/>
                <w:color w:val="1F497D" w:themeColor="text2"/>
                <w:sz w:val="22"/>
                <w:szCs w:val="22"/>
                <w:lang w:val="ro-RO"/>
              </w:rPr>
              <w:t xml:space="preserve">Se vor urmări </w:t>
            </w:r>
            <w:r>
              <w:rPr>
                <w:rFonts w:asciiTheme="minorHAnsi" w:hAnsiTheme="minorHAnsi"/>
                <w:color w:val="1F497D" w:themeColor="text2"/>
                <w:sz w:val="22"/>
                <w:szCs w:val="22"/>
                <w:lang w:val="ro-RO"/>
              </w:rPr>
              <w:t>fișele</w:t>
            </w:r>
            <w:r w:rsidRPr="00C45D33">
              <w:rPr>
                <w:rFonts w:asciiTheme="minorHAnsi" w:hAnsiTheme="minorHAnsi"/>
                <w:color w:val="1F497D" w:themeColor="text2"/>
                <w:sz w:val="22"/>
                <w:szCs w:val="22"/>
                <w:lang w:val="ro-RO"/>
              </w:rPr>
              <w:t xml:space="preserve"> aferente intervențiilor F</w:t>
            </w:r>
            <w:r>
              <w:rPr>
                <w:rFonts w:asciiTheme="minorHAnsi" w:hAnsiTheme="minorHAnsi"/>
                <w:color w:val="1F497D" w:themeColor="text2"/>
                <w:sz w:val="22"/>
                <w:szCs w:val="22"/>
                <w:lang w:val="ro-RO"/>
              </w:rPr>
              <w:t>EDR</w:t>
            </w:r>
            <w:r w:rsidRPr="00C45D33">
              <w:rPr>
                <w:rFonts w:asciiTheme="minorHAnsi" w:hAnsiTheme="minorHAnsi"/>
                <w:color w:val="1F497D" w:themeColor="text2"/>
                <w:sz w:val="22"/>
                <w:szCs w:val="22"/>
                <w:lang w:val="ro-RO"/>
              </w:rPr>
              <w:t xml:space="preserve"> care vizează</w:t>
            </w:r>
            <w:r w:rsidRPr="00A41C03">
              <w:rPr>
                <w:rFonts w:asciiTheme="minorHAnsi" w:hAnsiTheme="minorHAnsi"/>
                <w:color w:val="1F497D" w:themeColor="text2"/>
                <w:sz w:val="22"/>
                <w:szCs w:val="22"/>
                <w:lang w:val="ro-RO"/>
              </w:rPr>
              <w:t xml:space="preserve"> utilități publice și infrastructură rutieră</w:t>
            </w:r>
          </w:p>
        </w:tc>
      </w:tr>
      <w:tr w:rsidR="005546B0" w:rsidRPr="00A41C03" w:rsidTr="005546B0">
        <w:tc>
          <w:tcPr>
            <w:tcW w:w="247" w:type="pct"/>
            <w:vAlign w:val="center"/>
          </w:tcPr>
          <w:p w:rsidR="005546B0" w:rsidRPr="00CB009D" w:rsidRDefault="005546B0" w:rsidP="00A41C03">
            <w:pPr>
              <w:spacing w:before="0"/>
              <w:rPr>
                <w:rFonts w:asciiTheme="minorHAnsi" w:hAnsiTheme="minorHAnsi"/>
                <w:color w:val="1F497D"/>
                <w:lang w:val="ro-RO"/>
              </w:rPr>
            </w:pPr>
            <w:r w:rsidRPr="00CB009D">
              <w:rPr>
                <w:rFonts w:asciiTheme="minorHAnsi" w:hAnsiTheme="minorHAnsi"/>
                <w:color w:val="1F497D"/>
                <w:lang w:val="ro-RO"/>
              </w:rPr>
              <w:t>9.</w:t>
            </w:r>
          </w:p>
        </w:tc>
        <w:tc>
          <w:tcPr>
            <w:tcW w:w="2539" w:type="pct"/>
          </w:tcPr>
          <w:p w:rsidR="005546B0" w:rsidRPr="00CB009D" w:rsidRDefault="005546B0" w:rsidP="00A41C03">
            <w:pPr>
              <w:spacing w:before="0"/>
              <w:rPr>
                <w:rFonts w:asciiTheme="minorHAnsi" w:hAnsiTheme="minorHAnsi"/>
                <w:color w:val="1F497D"/>
                <w:lang w:val="ro-RO"/>
              </w:rPr>
            </w:pPr>
            <w:r w:rsidRPr="00CB009D">
              <w:rPr>
                <w:rFonts w:asciiTheme="minorHAnsi" w:hAnsiTheme="minorHAnsi"/>
                <w:color w:val="1F497D" w:themeColor="text2"/>
                <w:lang w:val="ro-RO"/>
              </w:rPr>
              <w:t xml:space="preserve">Țintele propuse la nivel de SDL pentru indicatorii de realizare POCU </w:t>
            </w:r>
            <w:r w:rsidRPr="00CB009D">
              <w:rPr>
                <w:rFonts w:asciiTheme="minorHAnsi" w:hAnsiTheme="minorHAnsi"/>
                <w:color w:val="1F497D" w:themeColor="text2"/>
                <w:lang w:val="ro-RO"/>
              </w:rPr>
              <w:lastRenderedPageBreak/>
              <w:t>respectă țintele minime, în funcție de bugetul alocat intervențiilor POCU la nivel de SDL</w:t>
            </w:r>
          </w:p>
        </w:tc>
        <w:tc>
          <w:tcPr>
            <w:tcW w:w="2214" w:type="pct"/>
          </w:tcPr>
          <w:p w:rsidR="005546B0" w:rsidRPr="00CB009D" w:rsidRDefault="005546B0" w:rsidP="001F4394">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CB009D">
              <w:rPr>
                <w:rFonts w:asciiTheme="minorHAnsi" w:hAnsiTheme="minorHAnsi" w:cs="Segoe UI"/>
                <w:color w:val="1F497D"/>
                <w:sz w:val="22"/>
                <w:szCs w:val="22"/>
                <w:lang w:val="ro-RO" w:eastAsia="en-US"/>
              </w:rPr>
              <w:lastRenderedPageBreak/>
              <w:t xml:space="preserve">Se vor verifica țintele propuse pentru indicatorii POCU în cadrul </w:t>
            </w:r>
            <w:r w:rsidRPr="00CB009D">
              <w:rPr>
                <w:rFonts w:asciiTheme="minorHAnsi" w:hAnsiTheme="minorHAnsi" w:cs="Segoe UI"/>
                <w:color w:val="1F497D"/>
                <w:sz w:val="22"/>
                <w:szCs w:val="22"/>
                <w:lang w:val="ro-RO" w:eastAsia="en-US"/>
              </w:rPr>
              <w:lastRenderedPageBreak/>
              <w:t xml:space="preserve">Anexei 22 a SDL – </w:t>
            </w:r>
            <w:r w:rsidRPr="00CB009D">
              <w:rPr>
                <w:rFonts w:asciiTheme="minorHAnsi" w:hAnsiTheme="minorHAnsi" w:cs="Segoe UI"/>
                <w:i/>
                <w:color w:val="1F497D"/>
                <w:sz w:val="22"/>
                <w:szCs w:val="22"/>
                <w:lang w:val="ro-RO" w:eastAsia="en-US"/>
              </w:rPr>
              <w:t>Procedura de monitorizare și evaluare a SDL (Caseta 4 SDL)</w:t>
            </w:r>
            <w:r w:rsidRPr="00CB009D">
              <w:rPr>
                <w:rFonts w:asciiTheme="minorHAnsi" w:hAnsiTheme="minorHAnsi" w:cs="Segoe UI"/>
                <w:color w:val="1F497D"/>
                <w:sz w:val="22"/>
                <w:szCs w:val="22"/>
                <w:lang w:val="ro-RO" w:eastAsia="en-US"/>
              </w:rPr>
              <w:t>, în conformitate cu prevederile Anexei la Modelul Cadru SDL ”</w:t>
            </w:r>
            <w:r w:rsidRPr="00CB009D">
              <w:rPr>
                <w:i/>
                <w:color w:val="1F497D"/>
                <w:lang w:val="ro-RO"/>
              </w:rPr>
              <w:t>Indicatori POCU aferenți Obiectivului Specific 5.1</w:t>
            </w:r>
            <w:r w:rsidRPr="00CB009D">
              <w:rPr>
                <w:rFonts w:asciiTheme="minorHAnsi" w:hAnsiTheme="minorHAnsi" w:cs="Segoe UI"/>
                <w:color w:val="1F497D"/>
                <w:sz w:val="22"/>
                <w:szCs w:val="22"/>
                <w:lang w:val="ro-RO" w:eastAsia="en-US"/>
              </w:rPr>
              <w:t xml:space="preserve">”) </w:t>
            </w:r>
          </w:p>
        </w:tc>
      </w:tr>
      <w:tr w:rsidR="005546B0" w:rsidRPr="00004568" w:rsidTr="005546B0">
        <w:trPr>
          <w:trHeight w:val="1638"/>
        </w:trPr>
        <w:tc>
          <w:tcPr>
            <w:tcW w:w="247" w:type="pct"/>
            <w:vAlign w:val="center"/>
          </w:tcPr>
          <w:p w:rsidR="005546B0" w:rsidRPr="00004568" w:rsidRDefault="005546B0" w:rsidP="00A41C03">
            <w:pPr>
              <w:spacing w:before="0"/>
              <w:rPr>
                <w:rFonts w:asciiTheme="minorHAnsi" w:hAnsiTheme="minorHAnsi"/>
                <w:color w:val="1F497D"/>
                <w:lang w:val="ro-RO"/>
              </w:rPr>
            </w:pPr>
            <w:r>
              <w:rPr>
                <w:rFonts w:asciiTheme="minorHAnsi" w:hAnsiTheme="minorHAnsi"/>
                <w:color w:val="1F497D"/>
                <w:lang w:val="ro-RO"/>
              </w:rPr>
              <w:lastRenderedPageBreak/>
              <w:t>10</w:t>
            </w:r>
            <w:r w:rsidRPr="00004568">
              <w:rPr>
                <w:rFonts w:asciiTheme="minorHAnsi" w:hAnsiTheme="minorHAnsi"/>
                <w:color w:val="1F497D"/>
                <w:lang w:val="ro-RO"/>
              </w:rPr>
              <w:t>.</w:t>
            </w:r>
          </w:p>
        </w:tc>
        <w:tc>
          <w:tcPr>
            <w:tcW w:w="2539" w:type="pct"/>
          </w:tcPr>
          <w:p w:rsidR="005546B0" w:rsidRPr="00E57E71" w:rsidRDefault="005546B0" w:rsidP="00A41C03">
            <w:pPr>
              <w:spacing w:before="0"/>
              <w:rPr>
                <w:rFonts w:asciiTheme="minorHAnsi" w:hAnsiTheme="minorHAnsi"/>
                <w:color w:val="1F497D"/>
                <w:lang w:val="ro-RO"/>
              </w:rPr>
            </w:pPr>
            <w:r w:rsidRPr="00E57E71">
              <w:rPr>
                <w:rFonts w:asciiTheme="minorHAnsi" w:hAnsiTheme="minorHAnsi"/>
                <w:color w:val="1F497D"/>
                <w:lang w:val="ro-RO"/>
              </w:rPr>
              <w:t xml:space="preserve">Pentru intervențiile finanțate din FSE, minimum 50% din grupul țintă (persoanele care beneficiază de servicii integrate) vor beneficia de măsuri de ocupare (ex. ucenicie, stagii, subvenționarea locurilor de muncă, formare profesională, </w:t>
            </w:r>
            <w:proofErr w:type="spellStart"/>
            <w:r w:rsidRPr="00E57E71">
              <w:rPr>
                <w:rFonts w:asciiTheme="minorHAnsi" w:hAnsiTheme="minorHAnsi"/>
                <w:color w:val="1F497D"/>
                <w:lang w:val="ro-RO"/>
              </w:rPr>
              <w:t>antreprenoriat</w:t>
            </w:r>
            <w:proofErr w:type="spellEnd"/>
            <w:r w:rsidRPr="00E57E71">
              <w:rPr>
                <w:rFonts w:asciiTheme="minorHAnsi" w:hAnsiTheme="minorHAnsi"/>
                <w:color w:val="1F497D"/>
                <w:lang w:val="ro-RO"/>
              </w:rPr>
              <w:t xml:space="preserve"> etc.)</w:t>
            </w:r>
          </w:p>
          <w:p w:rsidR="005546B0" w:rsidRPr="00423A7A" w:rsidRDefault="005546B0" w:rsidP="00A41C03">
            <w:pPr>
              <w:spacing w:before="0"/>
              <w:rPr>
                <w:rFonts w:asciiTheme="minorHAnsi" w:hAnsiTheme="minorHAnsi"/>
                <w:color w:val="1F497D"/>
                <w:lang w:val="ro-RO"/>
              </w:rPr>
            </w:pPr>
          </w:p>
        </w:tc>
        <w:tc>
          <w:tcPr>
            <w:tcW w:w="2214" w:type="pct"/>
          </w:tcPr>
          <w:p w:rsidR="005546B0" w:rsidRPr="00FA2E95" w:rsidRDefault="005546B0" w:rsidP="00FA2E95">
            <w:pPr>
              <w:pStyle w:val="ResponsecategsChar"/>
              <w:tabs>
                <w:tab w:val="right" w:leader="dot" w:pos="4464"/>
              </w:tabs>
              <w:ind w:left="34" w:firstLine="0"/>
              <w:jc w:val="both"/>
              <w:rPr>
                <w:rFonts w:asciiTheme="minorHAnsi" w:hAnsiTheme="minorHAnsi"/>
                <w:color w:val="1F497D" w:themeColor="text2"/>
                <w:sz w:val="22"/>
                <w:szCs w:val="22"/>
                <w:lang w:val="ro-RO"/>
              </w:rPr>
            </w:pPr>
            <w:r w:rsidRPr="00C45D33">
              <w:rPr>
                <w:rFonts w:asciiTheme="minorHAnsi" w:hAnsiTheme="minorHAnsi"/>
                <w:color w:val="1F497D" w:themeColor="text2"/>
                <w:sz w:val="22"/>
                <w:szCs w:val="22"/>
                <w:lang w:val="ro-RO"/>
              </w:rPr>
              <w:t xml:space="preserve">Se vor urmări </w:t>
            </w:r>
            <w:r>
              <w:rPr>
                <w:rFonts w:asciiTheme="minorHAnsi" w:hAnsiTheme="minorHAnsi"/>
                <w:color w:val="1F497D" w:themeColor="text2"/>
                <w:sz w:val="22"/>
                <w:szCs w:val="22"/>
                <w:lang w:val="ro-RO"/>
              </w:rPr>
              <w:t>fișele</w:t>
            </w:r>
            <w:r w:rsidRPr="00C45D33">
              <w:rPr>
                <w:rFonts w:asciiTheme="minorHAnsi" w:hAnsiTheme="minorHAnsi"/>
                <w:color w:val="1F497D" w:themeColor="text2"/>
                <w:sz w:val="22"/>
                <w:szCs w:val="22"/>
                <w:lang w:val="ro-RO"/>
              </w:rPr>
              <w:t xml:space="preserve"> aferente intervențiilor FSE care vizează măsuri de ocupare (accesul și/sau menținerea pe piața muncii, inclusiv prin formare profesionala, ucenicie și stagii; susținerea antreprenorialului în cadrul comunității, inclu</w:t>
            </w:r>
            <w:r>
              <w:rPr>
                <w:rFonts w:asciiTheme="minorHAnsi" w:hAnsiTheme="minorHAnsi"/>
                <w:color w:val="1F497D" w:themeColor="text2"/>
                <w:sz w:val="22"/>
                <w:szCs w:val="22"/>
                <w:lang w:val="ro-RO"/>
              </w:rPr>
              <w:t>siv a ocupării pe cont-propriu).</w:t>
            </w:r>
          </w:p>
        </w:tc>
      </w:tr>
      <w:bookmarkEnd w:id="2"/>
    </w:tbl>
    <w:p w:rsidR="00BF59E6" w:rsidRPr="001631DA" w:rsidRDefault="00BF59E6" w:rsidP="005546B0">
      <w:pPr>
        <w:pStyle w:val="Heading2"/>
        <w:rPr>
          <w:rFonts w:asciiTheme="minorHAnsi" w:hAnsiTheme="minorHAnsi"/>
          <w:b/>
          <w:color w:val="1F497D"/>
          <w:lang w:val="ro-RO"/>
        </w:rPr>
      </w:pPr>
    </w:p>
    <w:sectPr w:rsidR="00BF59E6" w:rsidRPr="001631DA" w:rsidSect="00323EA8">
      <w:footerReference w:type="default" r:id="rId9"/>
      <w:pgSz w:w="15840" w:h="12240" w:orient="landscape"/>
      <w:pgMar w:top="851" w:right="1276" w:bottom="709"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CF4" w:rsidRDefault="001D4CF4" w:rsidP="006318AB">
      <w:pPr>
        <w:spacing w:before="0"/>
      </w:pPr>
      <w:r>
        <w:separator/>
      </w:r>
    </w:p>
  </w:endnote>
  <w:endnote w:type="continuationSeparator" w:id="0">
    <w:p w:rsidR="001D4CF4" w:rsidRDefault="001D4CF4" w:rsidP="006318A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TimesNewRomanPS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FAA" w:rsidRDefault="00190FAA">
    <w:pPr>
      <w:pStyle w:val="Footer"/>
      <w:jc w:val="right"/>
    </w:pPr>
    <w:r>
      <w:fldChar w:fldCharType="begin"/>
    </w:r>
    <w:r>
      <w:instrText xml:space="preserve"> PAGE   \* MERGEFORMAT </w:instrText>
    </w:r>
    <w:r>
      <w:fldChar w:fldCharType="separate"/>
    </w:r>
    <w:r w:rsidR="00703AAB">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CF4" w:rsidRDefault="001D4CF4" w:rsidP="006318AB">
      <w:pPr>
        <w:spacing w:before="0"/>
      </w:pPr>
      <w:r>
        <w:separator/>
      </w:r>
    </w:p>
  </w:footnote>
  <w:footnote w:type="continuationSeparator" w:id="0">
    <w:p w:rsidR="001D4CF4" w:rsidRDefault="001D4CF4" w:rsidP="006318AB">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E70AED2"/>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498AAA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221CCFF6"/>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CCCA1F10"/>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532C01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64AFB2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84CB4F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5063AD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4644D2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54AEE3E"/>
    <w:lvl w:ilvl="0">
      <w:start w:val="1"/>
      <w:numFmt w:val="bullet"/>
      <w:lvlText w:val=""/>
      <w:lvlJc w:val="left"/>
      <w:pPr>
        <w:tabs>
          <w:tab w:val="num" w:pos="360"/>
        </w:tabs>
        <w:ind w:left="360" w:hanging="360"/>
      </w:pPr>
      <w:rPr>
        <w:rFonts w:ascii="Symbol" w:hAnsi="Symbol" w:hint="default"/>
      </w:rPr>
    </w:lvl>
  </w:abstractNum>
  <w:abstractNum w:abstractNumId="10">
    <w:nsid w:val="01A248A0"/>
    <w:multiLevelType w:val="hybridMultilevel"/>
    <w:tmpl w:val="233ADBE2"/>
    <w:lvl w:ilvl="0" w:tplc="04090019">
      <w:start w:val="1"/>
      <w:numFmt w:val="lowerLetter"/>
      <w:lvlText w:val="%1."/>
      <w:lvlJc w:val="left"/>
      <w:pPr>
        <w:tabs>
          <w:tab w:val="num" w:pos="690"/>
        </w:tabs>
        <w:ind w:left="690" w:hanging="360"/>
      </w:pPr>
      <w:rPr>
        <w:rFonts w:cs="Times New Roman" w:hint="default"/>
      </w:rPr>
    </w:lvl>
    <w:lvl w:ilvl="1" w:tplc="FF32B292">
      <w:start w:val="1"/>
      <w:numFmt w:val="bullet"/>
      <w:lvlText w:val="-"/>
      <w:lvlJc w:val="left"/>
      <w:pPr>
        <w:ind w:left="1410" w:hanging="360"/>
      </w:pPr>
      <w:rPr>
        <w:rFonts w:ascii="Calibri" w:eastAsia="Times New Roman" w:hAnsi="Calibri" w:hint="default"/>
        <w:color w:val="auto"/>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11">
    <w:nsid w:val="01C64706"/>
    <w:multiLevelType w:val="hybridMultilevel"/>
    <w:tmpl w:val="EA32029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27446E9"/>
    <w:multiLevelType w:val="hybridMultilevel"/>
    <w:tmpl w:val="5C4C2536"/>
    <w:lvl w:ilvl="0" w:tplc="D8B06CCC">
      <w:start w:val="6"/>
      <w:numFmt w:val="bullet"/>
      <w:lvlText w:val="-"/>
      <w:lvlJc w:val="left"/>
      <w:pPr>
        <w:ind w:left="720" w:hanging="360"/>
      </w:pPr>
      <w:rPr>
        <w:rFonts w:ascii="Calibri" w:eastAsia="Calibri" w:hAnsi="Calibri" w:cs="Segoe U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03D669F5"/>
    <w:multiLevelType w:val="hybridMultilevel"/>
    <w:tmpl w:val="77BAABF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05CA5688"/>
    <w:multiLevelType w:val="hybridMultilevel"/>
    <w:tmpl w:val="9FB6943C"/>
    <w:lvl w:ilvl="0" w:tplc="CA721240">
      <w:numFmt w:val="bullet"/>
      <w:lvlText w:val="-"/>
      <w:lvlJc w:val="left"/>
      <w:pPr>
        <w:tabs>
          <w:tab w:val="num" w:pos="720"/>
        </w:tabs>
        <w:ind w:left="720" w:hanging="360"/>
      </w:pPr>
      <w:rPr>
        <w:rFonts w:ascii="Calibri" w:eastAsia="MS Mincho" w:hAnsi="Calibri" w:cs="Aria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AF45397"/>
    <w:multiLevelType w:val="hybridMultilevel"/>
    <w:tmpl w:val="2C4E0CF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0B637827"/>
    <w:multiLevelType w:val="hybridMultilevel"/>
    <w:tmpl w:val="C498A2A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0C1C3117"/>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0CB52BE8"/>
    <w:multiLevelType w:val="hybridMultilevel"/>
    <w:tmpl w:val="140C91D2"/>
    <w:lvl w:ilvl="0" w:tplc="4E14C752">
      <w:start w:val="1"/>
      <w:numFmt w:val="lowerLetter"/>
      <w:lvlText w:val="%1."/>
      <w:lvlJc w:val="left"/>
      <w:pPr>
        <w:ind w:left="720" w:hanging="360"/>
      </w:pPr>
      <w:rPr>
        <w:rFonts w:ascii="Calibri" w:hAnsi="Calibri" w:cs="Times New Roman" w:hint="default"/>
        <w:b w:val="0"/>
        <w:sz w:val="20"/>
        <w:szCs w:val="20"/>
      </w:rPr>
    </w:lvl>
    <w:lvl w:ilvl="1" w:tplc="95069028">
      <w:start w:val="1"/>
      <w:numFmt w:val="lowerLetter"/>
      <w:lvlText w:val="%2."/>
      <w:lvlJc w:val="left"/>
      <w:pPr>
        <w:ind w:left="1440" w:hanging="360"/>
      </w:pPr>
      <w:rPr>
        <w:rFonts w:cs="Times New Roman"/>
        <w:i w:val="0"/>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10E60220"/>
    <w:multiLevelType w:val="hybridMultilevel"/>
    <w:tmpl w:val="213A1D1C"/>
    <w:lvl w:ilvl="0" w:tplc="7564FFBA">
      <w:start w:val="1"/>
      <w:numFmt w:val="lowerLetter"/>
      <w:lvlText w:val="%1."/>
      <w:lvlJc w:val="left"/>
      <w:pPr>
        <w:ind w:left="720" w:hanging="360"/>
      </w:pPr>
      <w:rPr>
        <w:rFonts w:ascii="Calibri" w:hAnsi="Calibri" w:cs="Times New Roman" w:hint="default"/>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141D51DA"/>
    <w:multiLevelType w:val="hybridMultilevel"/>
    <w:tmpl w:val="FABCB99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15187EAC"/>
    <w:multiLevelType w:val="hybridMultilevel"/>
    <w:tmpl w:val="A198B53A"/>
    <w:lvl w:ilvl="0" w:tplc="4E14C752">
      <w:start w:val="1"/>
      <w:numFmt w:val="lowerLetter"/>
      <w:lvlText w:val="%1."/>
      <w:lvlJc w:val="left"/>
      <w:pPr>
        <w:ind w:left="360" w:hanging="360"/>
      </w:pPr>
      <w:rPr>
        <w:rFonts w:ascii="Calibri" w:hAnsi="Calibri" w:cs="Times New Roman" w:hint="default"/>
        <w:b w:val="0"/>
        <w:sz w:val="20"/>
        <w:szCs w:val="20"/>
      </w:rPr>
    </w:lvl>
    <w:lvl w:ilvl="1" w:tplc="04090019">
      <w:start w:val="1"/>
      <w:numFmt w:val="lowerLetter"/>
      <w:lvlText w:val="%2."/>
      <w:lvlJc w:val="left"/>
      <w:pPr>
        <w:ind w:left="1015" w:hanging="360"/>
      </w:pPr>
      <w:rPr>
        <w:rFonts w:cs="Times New Roman"/>
      </w:rPr>
    </w:lvl>
    <w:lvl w:ilvl="2" w:tplc="0409001B" w:tentative="1">
      <w:start w:val="1"/>
      <w:numFmt w:val="lowerRoman"/>
      <w:lvlText w:val="%3."/>
      <w:lvlJc w:val="right"/>
      <w:pPr>
        <w:ind w:left="1735" w:hanging="180"/>
      </w:pPr>
      <w:rPr>
        <w:rFonts w:cs="Times New Roman"/>
      </w:rPr>
    </w:lvl>
    <w:lvl w:ilvl="3" w:tplc="0409000F" w:tentative="1">
      <w:start w:val="1"/>
      <w:numFmt w:val="decimal"/>
      <w:lvlText w:val="%4."/>
      <w:lvlJc w:val="left"/>
      <w:pPr>
        <w:ind w:left="2455" w:hanging="360"/>
      </w:pPr>
      <w:rPr>
        <w:rFonts w:cs="Times New Roman"/>
      </w:rPr>
    </w:lvl>
    <w:lvl w:ilvl="4" w:tplc="04090019" w:tentative="1">
      <w:start w:val="1"/>
      <w:numFmt w:val="lowerLetter"/>
      <w:lvlText w:val="%5."/>
      <w:lvlJc w:val="left"/>
      <w:pPr>
        <w:ind w:left="3175" w:hanging="360"/>
      </w:pPr>
      <w:rPr>
        <w:rFonts w:cs="Times New Roman"/>
      </w:rPr>
    </w:lvl>
    <w:lvl w:ilvl="5" w:tplc="0409001B" w:tentative="1">
      <w:start w:val="1"/>
      <w:numFmt w:val="lowerRoman"/>
      <w:lvlText w:val="%6."/>
      <w:lvlJc w:val="right"/>
      <w:pPr>
        <w:ind w:left="3895" w:hanging="180"/>
      </w:pPr>
      <w:rPr>
        <w:rFonts w:cs="Times New Roman"/>
      </w:rPr>
    </w:lvl>
    <w:lvl w:ilvl="6" w:tplc="0409000F" w:tentative="1">
      <w:start w:val="1"/>
      <w:numFmt w:val="decimal"/>
      <w:lvlText w:val="%7."/>
      <w:lvlJc w:val="left"/>
      <w:pPr>
        <w:ind w:left="4615" w:hanging="360"/>
      </w:pPr>
      <w:rPr>
        <w:rFonts w:cs="Times New Roman"/>
      </w:rPr>
    </w:lvl>
    <w:lvl w:ilvl="7" w:tplc="04090019" w:tentative="1">
      <w:start w:val="1"/>
      <w:numFmt w:val="lowerLetter"/>
      <w:lvlText w:val="%8."/>
      <w:lvlJc w:val="left"/>
      <w:pPr>
        <w:ind w:left="5335" w:hanging="360"/>
      </w:pPr>
      <w:rPr>
        <w:rFonts w:cs="Times New Roman"/>
      </w:rPr>
    </w:lvl>
    <w:lvl w:ilvl="8" w:tplc="0409001B" w:tentative="1">
      <w:start w:val="1"/>
      <w:numFmt w:val="lowerRoman"/>
      <w:lvlText w:val="%9."/>
      <w:lvlJc w:val="right"/>
      <w:pPr>
        <w:ind w:left="6055" w:hanging="180"/>
      </w:pPr>
      <w:rPr>
        <w:rFonts w:cs="Times New Roman"/>
      </w:rPr>
    </w:lvl>
  </w:abstractNum>
  <w:abstractNum w:abstractNumId="22">
    <w:nsid w:val="163A7139"/>
    <w:multiLevelType w:val="hybridMultilevel"/>
    <w:tmpl w:val="BF1E523C"/>
    <w:lvl w:ilvl="0" w:tplc="CA721240">
      <w:numFmt w:val="bullet"/>
      <w:lvlText w:val="-"/>
      <w:lvlJc w:val="left"/>
      <w:pPr>
        <w:ind w:left="720" w:hanging="360"/>
      </w:pPr>
      <w:rPr>
        <w:rFonts w:ascii="Calibri" w:eastAsia="MS Mincho"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16E33335"/>
    <w:multiLevelType w:val="hybridMultilevel"/>
    <w:tmpl w:val="31CE116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19981DE7"/>
    <w:multiLevelType w:val="hybridMultilevel"/>
    <w:tmpl w:val="E040AF30"/>
    <w:lvl w:ilvl="0" w:tplc="57167A4E">
      <w:start w:val="1"/>
      <w:numFmt w:val="bullet"/>
      <w:lvlText w:val="•"/>
      <w:lvlJc w:val="left"/>
      <w:pPr>
        <w:tabs>
          <w:tab w:val="num" w:pos="720"/>
        </w:tabs>
        <w:ind w:left="720" w:hanging="360"/>
      </w:pPr>
      <w:rPr>
        <w:rFonts w:ascii="Arial" w:hAnsi="Arial" w:hint="default"/>
      </w:rPr>
    </w:lvl>
    <w:lvl w:ilvl="1" w:tplc="7B9815F4" w:tentative="1">
      <w:start w:val="1"/>
      <w:numFmt w:val="bullet"/>
      <w:lvlText w:val="•"/>
      <w:lvlJc w:val="left"/>
      <w:pPr>
        <w:tabs>
          <w:tab w:val="num" w:pos="1440"/>
        </w:tabs>
        <w:ind w:left="1440" w:hanging="360"/>
      </w:pPr>
      <w:rPr>
        <w:rFonts w:ascii="Arial" w:hAnsi="Arial" w:hint="default"/>
      </w:rPr>
    </w:lvl>
    <w:lvl w:ilvl="2" w:tplc="A77A6C46" w:tentative="1">
      <w:start w:val="1"/>
      <w:numFmt w:val="bullet"/>
      <w:lvlText w:val="•"/>
      <w:lvlJc w:val="left"/>
      <w:pPr>
        <w:tabs>
          <w:tab w:val="num" w:pos="2160"/>
        </w:tabs>
        <w:ind w:left="2160" w:hanging="360"/>
      </w:pPr>
      <w:rPr>
        <w:rFonts w:ascii="Arial" w:hAnsi="Arial" w:hint="default"/>
      </w:rPr>
    </w:lvl>
    <w:lvl w:ilvl="3" w:tplc="113A1EC0" w:tentative="1">
      <w:start w:val="1"/>
      <w:numFmt w:val="bullet"/>
      <w:lvlText w:val="•"/>
      <w:lvlJc w:val="left"/>
      <w:pPr>
        <w:tabs>
          <w:tab w:val="num" w:pos="2880"/>
        </w:tabs>
        <w:ind w:left="2880" w:hanging="360"/>
      </w:pPr>
      <w:rPr>
        <w:rFonts w:ascii="Arial" w:hAnsi="Arial" w:hint="default"/>
      </w:rPr>
    </w:lvl>
    <w:lvl w:ilvl="4" w:tplc="27704A60" w:tentative="1">
      <w:start w:val="1"/>
      <w:numFmt w:val="bullet"/>
      <w:lvlText w:val="•"/>
      <w:lvlJc w:val="left"/>
      <w:pPr>
        <w:tabs>
          <w:tab w:val="num" w:pos="3600"/>
        </w:tabs>
        <w:ind w:left="3600" w:hanging="360"/>
      </w:pPr>
      <w:rPr>
        <w:rFonts w:ascii="Arial" w:hAnsi="Arial" w:hint="default"/>
      </w:rPr>
    </w:lvl>
    <w:lvl w:ilvl="5" w:tplc="C30C256A" w:tentative="1">
      <w:start w:val="1"/>
      <w:numFmt w:val="bullet"/>
      <w:lvlText w:val="•"/>
      <w:lvlJc w:val="left"/>
      <w:pPr>
        <w:tabs>
          <w:tab w:val="num" w:pos="4320"/>
        </w:tabs>
        <w:ind w:left="4320" w:hanging="360"/>
      </w:pPr>
      <w:rPr>
        <w:rFonts w:ascii="Arial" w:hAnsi="Arial" w:hint="default"/>
      </w:rPr>
    </w:lvl>
    <w:lvl w:ilvl="6" w:tplc="CA9E8A76" w:tentative="1">
      <w:start w:val="1"/>
      <w:numFmt w:val="bullet"/>
      <w:lvlText w:val="•"/>
      <w:lvlJc w:val="left"/>
      <w:pPr>
        <w:tabs>
          <w:tab w:val="num" w:pos="5040"/>
        </w:tabs>
        <w:ind w:left="5040" w:hanging="360"/>
      </w:pPr>
      <w:rPr>
        <w:rFonts w:ascii="Arial" w:hAnsi="Arial" w:hint="default"/>
      </w:rPr>
    </w:lvl>
    <w:lvl w:ilvl="7" w:tplc="57DC1A26" w:tentative="1">
      <w:start w:val="1"/>
      <w:numFmt w:val="bullet"/>
      <w:lvlText w:val="•"/>
      <w:lvlJc w:val="left"/>
      <w:pPr>
        <w:tabs>
          <w:tab w:val="num" w:pos="5760"/>
        </w:tabs>
        <w:ind w:left="5760" w:hanging="360"/>
      </w:pPr>
      <w:rPr>
        <w:rFonts w:ascii="Arial" w:hAnsi="Arial" w:hint="default"/>
      </w:rPr>
    </w:lvl>
    <w:lvl w:ilvl="8" w:tplc="86947192" w:tentative="1">
      <w:start w:val="1"/>
      <w:numFmt w:val="bullet"/>
      <w:lvlText w:val="•"/>
      <w:lvlJc w:val="left"/>
      <w:pPr>
        <w:tabs>
          <w:tab w:val="num" w:pos="6480"/>
        </w:tabs>
        <w:ind w:left="6480" w:hanging="360"/>
      </w:pPr>
      <w:rPr>
        <w:rFonts w:ascii="Arial" w:hAnsi="Arial" w:hint="default"/>
      </w:rPr>
    </w:lvl>
  </w:abstractNum>
  <w:abstractNum w:abstractNumId="25">
    <w:nsid w:val="1BC8789E"/>
    <w:multiLevelType w:val="hybridMultilevel"/>
    <w:tmpl w:val="0C28A89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1BD2746D"/>
    <w:multiLevelType w:val="hybridMultilevel"/>
    <w:tmpl w:val="750A742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1DEE628F"/>
    <w:multiLevelType w:val="hybridMultilevel"/>
    <w:tmpl w:val="2FEE0CFA"/>
    <w:lvl w:ilvl="0" w:tplc="2A041F56">
      <w:start w:val="1"/>
      <w:numFmt w:val="decimal"/>
      <w:lvlText w:val="%1."/>
      <w:lvlJc w:val="center"/>
      <w:pPr>
        <w:ind w:left="720" w:hanging="360"/>
      </w:pPr>
      <w:rPr>
        <w:rFonts w:cs="Times New Roman" w:hint="default"/>
        <w:i w:val="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33E815C8"/>
    <w:multiLevelType w:val="hybridMultilevel"/>
    <w:tmpl w:val="EB969956"/>
    <w:lvl w:ilvl="0" w:tplc="4F8E81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84D23DA"/>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3CBA619F"/>
    <w:multiLevelType w:val="hybridMultilevel"/>
    <w:tmpl w:val="4740DE00"/>
    <w:lvl w:ilvl="0" w:tplc="64C68ADC">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1">
    <w:nsid w:val="3D93627C"/>
    <w:multiLevelType w:val="hybridMultilevel"/>
    <w:tmpl w:val="F8464994"/>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40C45B3E"/>
    <w:multiLevelType w:val="hybridMultilevel"/>
    <w:tmpl w:val="3614E4C2"/>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4A10119F"/>
    <w:multiLevelType w:val="hybridMultilevel"/>
    <w:tmpl w:val="7DCEDD7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4A974E9A"/>
    <w:multiLevelType w:val="hybridMultilevel"/>
    <w:tmpl w:val="0C28A89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4C0B1169"/>
    <w:multiLevelType w:val="hybridMultilevel"/>
    <w:tmpl w:val="39C82CF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54FC1ED7"/>
    <w:multiLevelType w:val="hybridMultilevel"/>
    <w:tmpl w:val="C09CDB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55AD055A"/>
    <w:multiLevelType w:val="hybridMultilevel"/>
    <w:tmpl w:val="B0984E88"/>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5A507414"/>
    <w:multiLevelType w:val="hybridMultilevel"/>
    <w:tmpl w:val="085AE9CA"/>
    <w:lvl w:ilvl="0" w:tplc="04180003">
      <w:start w:val="1"/>
      <w:numFmt w:val="bullet"/>
      <w:lvlText w:val="o"/>
      <w:lvlJc w:val="left"/>
      <w:pPr>
        <w:ind w:left="720" w:hanging="360"/>
      </w:pPr>
      <w:rPr>
        <w:rFonts w:ascii="Courier New" w:hAnsi="Courier New" w:hint="default"/>
        <w:color w:val="FFC000"/>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9">
    <w:nsid w:val="5A677734"/>
    <w:multiLevelType w:val="hybridMultilevel"/>
    <w:tmpl w:val="B688FB1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5FCB4BF0"/>
    <w:multiLevelType w:val="hybridMultilevel"/>
    <w:tmpl w:val="AF9205E2"/>
    <w:lvl w:ilvl="0" w:tplc="7564FFBA">
      <w:start w:val="1"/>
      <w:numFmt w:val="lowerLetter"/>
      <w:lvlText w:val="%1."/>
      <w:lvlJc w:val="left"/>
      <w:pPr>
        <w:ind w:left="720" w:hanging="360"/>
      </w:pPr>
      <w:rPr>
        <w:rFonts w:ascii="Calibri" w:hAnsi="Calibri" w:cs="Times New Roman" w:hint="default"/>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600F6EFA"/>
    <w:multiLevelType w:val="hybridMultilevel"/>
    <w:tmpl w:val="0D7CCA1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2">
    <w:nsid w:val="6B236AFC"/>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6B3A4EF6"/>
    <w:multiLevelType w:val="hybridMultilevel"/>
    <w:tmpl w:val="E200DA32"/>
    <w:lvl w:ilvl="0" w:tplc="0418000F">
      <w:start w:val="1"/>
      <w:numFmt w:val="decimal"/>
      <w:lvlText w:val="%1."/>
      <w:lvlJc w:val="left"/>
      <w:pPr>
        <w:ind w:left="1288" w:hanging="360"/>
      </w:pPr>
      <w:rPr>
        <w:rFonts w:cs="Times New Roman"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4">
    <w:nsid w:val="6CF8244A"/>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6D36728A"/>
    <w:multiLevelType w:val="hybridMultilevel"/>
    <w:tmpl w:val="3288E8B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nsid w:val="6D605BB7"/>
    <w:multiLevelType w:val="hybridMultilevel"/>
    <w:tmpl w:val="3C7CE9D0"/>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7">
    <w:nsid w:val="6E3D618A"/>
    <w:multiLevelType w:val="hybridMultilevel"/>
    <w:tmpl w:val="89423AE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nsid w:val="6F9158D1"/>
    <w:multiLevelType w:val="hybridMultilevel"/>
    <w:tmpl w:val="4470E2A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9">
    <w:nsid w:val="70A94A22"/>
    <w:multiLevelType w:val="hybridMultilevel"/>
    <w:tmpl w:val="8258E236"/>
    <w:lvl w:ilvl="0" w:tplc="0418000F">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0">
    <w:nsid w:val="74CB71CD"/>
    <w:multiLevelType w:val="hybridMultilevel"/>
    <w:tmpl w:val="98EAC6B2"/>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1">
    <w:nsid w:val="770B410F"/>
    <w:multiLevelType w:val="hybridMultilevel"/>
    <w:tmpl w:val="5984877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nsid w:val="7BE70F48"/>
    <w:multiLevelType w:val="hybridMultilevel"/>
    <w:tmpl w:val="223A944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3">
    <w:nsid w:val="7EDB727F"/>
    <w:multiLevelType w:val="hybridMultilevel"/>
    <w:tmpl w:val="97528CA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8"/>
  </w:num>
  <w:num w:numId="2">
    <w:abstractNumId w:val="31"/>
  </w:num>
  <w:num w:numId="3">
    <w:abstractNumId w:val="37"/>
  </w:num>
  <w:num w:numId="4">
    <w:abstractNumId w:val="39"/>
  </w:num>
  <w:num w:numId="5">
    <w:abstractNumId w:val="53"/>
  </w:num>
  <w:num w:numId="6">
    <w:abstractNumId w:val="16"/>
  </w:num>
  <w:num w:numId="7">
    <w:abstractNumId w:val="51"/>
  </w:num>
  <w:num w:numId="8">
    <w:abstractNumId w:val="17"/>
  </w:num>
  <w:num w:numId="9">
    <w:abstractNumId w:val="11"/>
  </w:num>
  <w:num w:numId="10">
    <w:abstractNumId w:val="42"/>
  </w:num>
  <w:num w:numId="11">
    <w:abstractNumId w:val="44"/>
  </w:num>
  <w:num w:numId="12">
    <w:abstractNumId w:val="23"/>
  </w:num>
  <w:num w:numId="13">
    <w:abstractNumId w:val="13"/>
  </w:num>
  <w:num w:numId="14">
    <w:abstractNumId w:val="29"/>
  </w:num>
  <w:num w:numId="15">
    <w:abstractNumId w:val="27"/>
  </w:num>
  <w:num w:numId="16">
    <w:abstractNumId w:val="47"/>
  </w:num>
  <w:num w:numId="17">
    <w:abstractNumId w:val="50"/>
  </w:num>
  <w:num w:numId="18">
    <w:abstractNumId w:val="40"/>
  </w:num>
  <w:num w:numId="19">
    <w:abstractNumId w:val="25"/>
  </w:num>
  <w:num w:numId="20">
    <w:abstractNumId w:val="32"/>
  </w:num>
  <w:num w:numId="21">
    <w:abstractNumId w:val="24"/>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36"/>
  </w:num>
  <w:num w:numId="34">
    <w:abstractNumId w:val="35"/>
  </w:num>
  <w:num w:numId="35">
    <w:abstractNumId w:val="34"/>
  </w:num>
  <w:num w:numId="36">
    <w:abstractNumId w:val="10"/>
  </w:num>
  <w:num w:numId="37">
    <w:abstractNumId w:val="52"/>
  </w:num>
  <w:num w:numId="38">
    <w:abstractNumId w:val="43"/>
  </w:num>
  <w:num w:numId="39">
    <w:abstractNumId w:val="49"/>
  </w:num>
  <w:num w:numId="40">
    <w:abstractNumId w:val="41"/>
  </w:num>
  <w:num w:numId="41">
    <w:abstractNumId w:val="38"/>
  </w:num>
  <w:num w:numId="42">
    <w:abstractNumId w:val="46"/>
  </w:num>
  <w:num w:numId="43">
    <w:abstractNumId w:val="48"/>
  </w:num>
  <w:num w:numId="44">
    <w:abstractNumId w:val="14"/>
  </w:num>
  <w:num w:numId="45">
    <w:abstractNumId w:val="19"/>
  </w:num>
  <w:num w:numId="46">
    <w:abstractNumId w:val="12"/>
  </w:num>
  <w:num w:numId="47">
    <w:abstractNumId w:val="21"/>
  </w:num>
  <w:num w:numId="48">
    <w:abstractNumId w:val="30"/>
  </w:num>
  <w:num w:numId="49">
    <w:abstractNumId w:val="33"/>
  </w:num>
  <w:num w:numId="50">
    <w:abstractNumId w:val="18"/>
  </w:num>
  <w:num w:numId="51">
    <w:abstractNumId w:val="26"/>
  </w:num>
  <w:num w:numId="52">
    <w:abstractNumId w:val="22"/>
  </w:num>
  <w:num w:numId="53">
    <w:abstractNumId w:val="45"/>
  </w:num>
  <w:num w:numId="54">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379"/>
    <w:rsid w:val="00002515"/>
    <w:rsid w:val="00002AFC"/>
    <w:rsid w:val="00004225"/>
    <w:rsid w:val="00004568"/>
    <w:rsid w:val="00004AE5"/>
    <w:rsid w:val="00006E69"/>
    <w:rsid w:val="00011E1F"/>
    <w:rsid w:val="00014615"/>
    <w:rsid w:val="000147F4"/>
    <w:rsid w:val="000165B0"/>
    <w:rsid w:val="00020239"/>
    <w:rsid w:val="000217E0"/>
    <w:rsid w:val="0002638C"/>
    <w:rsid w:val="00033218"/>
    <w:rsid w:val="00040D92"/>
    <w:rsid w:val="00041CB4"/>
    <w:rsid w:val="000445E8"/>
    <w:rsid w:val="00052ABE"/>
    <w:rsid w:val="00057AF1"/>
    <w:rsid w:val="00062B85"/>
    <w:rsid w:val="00063C24"/>
    <w:rsid w:val="0006604F"/>
    <w:rsid w:val="00066D49"/>
    <w:rsid w:val="00066F42"/>
    <w:rsid w:val="00073598"/>
    <w:rsid w:val="000737A2"/>
    <w:rsid w:val="00074CF8"/>
    <w:rsid w:val="0007531E"/>
    <w:rsid w:val="000766A0"/>
    <w:rsid w:val="00076F0E"/>
    <w:rsid w:val="0008069B"/>
    <w:rsid w:val="00081D4F"/>
    <w:rsid w:val="000829CE"/>
    <w:rsid w:val="00086B4A"/>
    <w:rsid w:val="00090407"/>
    <w:rsid w:val="000929E6"/>
    <w:rsid w:val="000952F7"/>
    <w:rsid w:val="000970FE"/>
    <w:rsid w:val="000A48ED"/>
    <w:rsid w:val="000A5C8E"/>
    <w:rsid w:val="000B249E"/>
    <w:rsid w:val="000B45E2"/>
    <w:rsid w:val="000B4956"/>
    <w:rsid w:val="000B6E65"/>
    <w:rsid w:val="000C7E15"/>
    <w:rsid w:val="000D4DBC"/>
    <w:rsid w:val="000F5302"/>
    <w:rsid w:val="000F54CE"/>
    <w:rsid w:val="000F6AE0"/>
    <w:rsid w:val="00101B14"/>
    <w:rsid w:val="00102B3C"/>
    <w:rsid w:val="00103575"/>
    <w:rsid w:val="001070A2"/>
    <w:rsid w:val="00121BED"/>
    <w:rsid w:val="0013117F"/>
    <w:rsid w:val="00131617"/>
    <w:rsid w:val="001401F2"/>
    <w:rsid w:val="00140F6F"/>
    <w:rsid w:val="001429BB"/>
    <w:rsid w:val="0015121A"/>
    <w:rsid w:val="0015406B"/>
    <w:rsid w:val="001631DA"/>
    <w:rsid w:val="00164285"/>
    <w:rsid w:val="00164BCD"/>
    <w:rsid w:val="00182387"/>
    <w:rsid w:val="001831D5"/>
    <w:rsid w:val="00183AB3"/>
    <w:rsid w:val="00190FAA"/>
    <w:rsid w:val="00190FFC"/>
    <w:rsid w:val="0019162B"/>
    <w:rsid w:val="00195E2A"/>
    <w:rsid w:val="00196828"/>
    <w:rsid w:val="001A02B8"/>
    <w:rsid w:val="001A144E"/>
    <w:rsid w:val="001A40B6"/>
    <w:rsid w:val="001A4271"/>
    <w:rsid w:val="001A6A6B"/>
    <w:rsid w:val="001B0440"/>
    <w:rsid w:val="001B0DD6"/>
    <w:rsid w:val="001B0E0A"/>
    <w:rsid w:val="001B3AF1"/>
    <w:rsid w:val="001B4A6B"/>
    <w:rsid w:val="001B50DD"/>
    <w:rsid w:val="001C0FF0"/>
    <w:rsid w:val="001D086D"/>
    <w:rsid w:val="001D0D29"/>
    <w:rsid w:val="001D33F7"/>
    <w:rsid w:val="001D4CF4"/>
    <w:rsid w:val="001E21EF"/>
    <w:rsid w:val="001E3B2A"/>
    <w:rsid w:val="001E6B6E"/>
    <w:rsid w:val="001F0A7D"/>
    <w:rsid w:val="001F1723"/>
    <w:rsid w:val="001F4394"/>
    <w:rsid w:val="00201ECB"/>
    <w:rsid w:val="00202AA5"/>
    <w:rsid w:val="002032E9"/>
    <w:rsid w:val="0020553D"/>
    <w:rsid w:val="002063EB"/>
    <w:rsid w:val="002072E6"/>
    <w:rsid w:val="00213015"/>
    <w:rsid w:val="00214FDF"/>
    <w:rsid w:val="00225707"/>
    <w:rsid w:val="00226457"/>
    <w:rsid w:val="00226A27"/>
    <w:rsid w:val="002277BD"/>
    <w:rsid w:val="002321AE"/>
    <w:rsid w:val="00235028"/>
    <w:rsid w:val="002361F0"/>
    <w:rsid w:val="00243608"/>
    <w:rsid w:val="00244639"/>
    <w:rsid w:val="0024486F"/>
    <w:rsid w:val="00250279"/>
    <w:rsid w:val="00250A56"/>
    <w:rsid w:val="00252119"/>
    <w:rsid w:val="00253AA4"/>
    <w:rsid w:val="00256156"/>
    <w:rsid w:val="00262DCD"/>
    <w:rsid w:val="0026397E"/>
    <w:rsid w:val="002653C3"/>
    <w:rsid w:val="00266996"/>
    <w:rsid w:val="00274AD2"/>
    <w:rsid w:val="002761DE"/>
    <w:rsid w:val="00281EAA"/>
    <w:rsid w:val="0029209C"/>
    <w:rsid w:val="00293C1E"/>
    <w:rsid w:val="00294E19"/>
    <w:rsid w:val="002A207F"/>
    <w:rsid w:val="002B3C05"/>
    <w:rsid w:val="002B4F67"/>
    <w:rsid w:val="002B66A8"/>
    <w:rsid w:val="002B7106"/>
    <w:rsid w:val="002C4E38"/>
    <w:rsid w:val="002C7852"/>
    <w:rsid w:val="002E2079"/>
    <w:rsid w:val="002E6F8C"/>
    <w:rsid w:val="002F5EB8"/>
    <w:rsid w:val="002F7434"/>
    <w:rsid w:val="002F7C6D"/>
    <w:rsid w:val="0030106F"/>
    <w:rsid w:val="0030137D"/>
    <w:rsid w:val="00303700"/>
    <w:rsid w:val="003047F5"/>
    <w:rsid w:val="00315547"/>
    <w:rsid w:val="003161B2"/>
    <w:rsid w:val="0031688C"/>
    <w:rsid w:val="00322F31"/>
    <w:rsid w:val="00323A96"/>
    <w:rsid w:val="00323EA8"/>
    <w:rsid w:val="003255B3"/>
    <w:rsid w:val="003257A4"/>
    <w:rsid w:val="00325EE2"/>
    <w:rsid w:val="00333DC4"/>
    <w:rsid w:val="003343B6"/>
    <w:rsid w:val="003361B8"/>
    <w:rsid w:val="00340831"/>
    <w:rsid w:val="00343933"/>
    <w:rsid w:val="003451D9"/>
    <w:rsid w:val="00351DAD"/>
    <w:rsid w:val="00355023"/>
    <w:rsid w:val="0035550E"/>
    <w:rsid w:val="0035575C"/>
    <w:rsid w:val="003576A0"/>
    <w:rsid w:val="00360F76"/>
    <w:rsid w:val="0036100C"/>
    <w:rsid w:val="00361394"/>
    <w:rsid w:val="0036377D"/>
    <w:rsid w:val="00363C02"/>
    <w:rsid w:val="0037164C"/>
    <w:rsid w:val="0037262A"/>
    <w:rsid w:val="00373C73"/>
    <w:rsid w:val="00375AEB"/>
    <w:rsid w:val="00376088"/>
    <w:rsid w:val="00377FCB"/>
    <w:rsid w:val="003826B8"/>
    <w:rsid w:val="003866C8"/>
    <w:rsid w:val="00393742"/>
    <w:rsid w:val="0039457A"/>
    <w:rsid w:val="003A0AA9"/>
    <w:rsid w:val="003A585E"/>
    <w:rsid w:val="003A7465"/>
    <w:rsid w:val="003B10CE"/>
    <w:rsid w:val="003B2179"/>
    <w:rsid w:val="003B2FCA"/>
    <w:rsid w:val="003B3AF4"/>
    <w:rsid w:val="003B65BC"/>
    <w:rsid w:val="003B73C3"/>
    <w:rsid w:val="003C2C1F"/>
    <w:rsid w:val="003C3313"/>
    <w:rsid w:val="003C4EC7"/>
    <w:rsid w:val="003C67FA"/>
    <w:rsid w:val="003D1E5E"/>
    <w:rsid w:val="003D4A57"/>
    <w:rsid w:val="003E00B0"/>
    <w:rsid w:val="003E08F8"/>
    <w:rsid w:val="003E2420"/>
    <w:rsid w:val="003E54D2"/>
    <w:rsid w:val="003E5BA0"/>
    <w:rsid w:val="003F0391"/>
    <w:rsid w:val="003F0513"/>
    <w:rsid w:val="003F41F3"/>
    <w:rsid w:val="0040126A"/>
    <w:rsid w:val="00401CE1"/>
    <w:rsid w:val="00404CE0"/>
    <w:rsid w:val="00405B7E"/>
    <w:rsid w:val="00406324"/>
    <w:rsid w:val="00412063"/>
    <w:rsid w:val="00414BFE"/>
    <w:rsid w:val="00420669"/>
    <w:rsid w:val="00420DED"/>
    <w:rsid w:val="00421CDF"/>
    <w:rsid w:val="00423A7A"/>
    <w:rsid w:val="004267C2"/>
    <w:rsid w:val="00431B15"/>
    <w:rsid w:val="00440418"/>
    <w:rsid w:val="00440A2F"/>
    <w:rsid w:val="00443A3C"/>
    <w:rsid w:val="004456AA"/>
    <w:rsid w:val="00450CF3"/>
    <w:rsid w:val="00451DE7"/>
    <w:rsid w:val="004520D5"/>
    <w:rsid w:val="00461F91"/>
    <w:rsid w:val="00464450"/>
    <w:rsid w:val="004676BF"/>
    <w:rsid w:val="00467FE6"/>
    <w:rsid w:val="00472711"/>
    <w:rsid w:val="00473EAE"/>
    <w:rsid w:val="00480C33"/>
    <w:rsid w:val="00480C3D"/>
    <w:rsid w:val="004817B8"/>
    <w:rsid w:val="0048348D"/>
    <w:rsid w:val="0048430B"/>
    <w:rsid w:val="004847B7"/>
    <w:rsid w:val="004873D1"/>
    <w:rsid w:val="00490CBB"/>
    <w:rsid w:val="00495B29"/>
    <w:rsid w:val="004A2B20"/>
    <w:rsid w:val="004A3F80"/>
    <w:rsid w:val="004A5A93"/>
    <w:rsid w:val="004A6C3A"/>
    <w:rsid w:val="004B2F9D"/>
    <w:rsid w:val="004B39C4"/>
    <w:rsid w:val="004B4CA4"/>
    <w:rsid w:val="004B727D"/>
    <w:rsid w:val="004D2866"/>
    <w:rsid w:val="004D2D05"/>
    <w:rsid w:val="004D53EE"/>
    <w:rsid w:val="004D5AD0"/>
    <w:rsid w:val="004D7CD0"/>
    <w:rsid w:val="004E023D"/>
    <w:rsid w:val="004E5A31"/>
    <w:rsid w:val="004E6EEB"/>
    <w:rsid w:val="004E7F16"/>
    <w:rsid w:val="004F4EE5"/>
    <w:rsid w:val="004F5F0A"/>
    <w:rsid w:val="005019CF"/>
    <w:rsid w:val="00504E8F"/>
    <w:rsid w:val="00505F58"/>
    <w:rsid w:val="005071FB"/>
    <w:rsid w:val="0050779D"/>
    <w:rsid w:val="0051488A"/>
    <w:rsid w:val="00521BAA"/>
    <w:rsid w:val="00533F19"/>
    <w:rsid w:val="00540F50"/>
    <w:rsid w:val="00545364"/>
    <w:rsid w:val="005456C7"/>
    <w:rsid w:val="005478E0"/>
    <w:rsid w:val="005509C6"/>
    <w:rsid w:val="00551BA5"/>
    <w:rsid w:val="005546B0"/>
    <w:rsid w:val="00560A52"/>
    <w:rsid w:val="005643CC"/>
    <w:rsid w:val="0056537A"/>
    <w:rsid w:val="005702E2"/>
    <w:rsid w:val="00575145"/>
    <w:rsid w:val="00576F66"/>
    <w:rsid w:val="00580F27"/>
    <w:rsid w:val="005815EE"/>
    <w:rsid w:val="00581CFA"/>
    <w:rsid w:val="00592FB0"/>
    <w:rsid w:val="00593496"/>
    <w:rsid w:val="005949EF"/>
    <w:rsid w:val="005A06FC"/>
    <w:rsid w:val="005A325E"/>
    <w:rsid w:val="005A736C"/>
    <w:rsid w:val="005B2938"/>
    <w:rsid w:val="005B6B62"/>
    <w:rsid w:val="005B6F40"/>
    <w:rsid w:val="005C5313"/>
    <w:rsid w:val="005C619C"/>
    <w:rsid w:val="005D3ED2"/>
    <w:rsid w:val="005D7096"/>
    <w:rsid w:val="005E3B74"/>
    <w:rsid w:val="005E4500"/>
    <w:rsid w:val="005E4E85"/>
    <w:rsid w:val="005F19FF"/>
    <w:rsid w:val="005F431A"/>
    <w:rsid w:val="005F4489"/>
    <w:rsid w:val="005F68D1"/>
    <w:rsid w:val="00601E21"/>
    <w:rsid w:val="00605764"/>
    <w:rsid w:val="00606335"/>
    <w:rsid w:val="0061137F"/>
    <w:rsid w:val="006138EB"/>
    <w:rsid w:val="00623816"/>
    <w:rsid w:val="00625F61"/>
    <w:rsid w:val="00626E7A"/>
    <w:rsid w:val="006318AB"/>
    <w:rsid w:val="00633DAB"/>
    <w:rsid w:val="00634AFE"/>
    <w:rsid w:val="00635785"/>
    <w:rsid w:val="00641DBD"/>
    <w:rsid w:val="00643058"/>
    <w:rsid w:val="00671CBE"/>
    <w:rsid w:val="00671CF0"/>
    <w:rsid w:val="00673149"/>
    <w:rsid w:val="006732F5"/>
    <w:rsid w:val="006807CF"/>
    <w:rsid w:val="00681EEE"/>
    <w:rsid w:val="0068365B"/>
    <w:rsid w:val="0069384B"/>
    <w:rsid w:val="006968DD"/>
    <w:rsid w:val="006A664B"/>
    <w:rsid w:val="006A6DED"/>
    <w:rsid w:val="006A73FA"/>
    <w:rsid w:val="006B4379"/>
    <w:rsid w:val="006C2F93"/>
    <w:rsid w:val="006C4316"/>
    <w:rsid w:val="006C4A65"/>
    <w:rsid w:val="006C5E89"/>
    <w:rsid w:val="006D197D"/>
    <w:rsid w:val="006E34AC"/>
    <w:rsid w:val="006E3714"/>
    <w:rsid w:val="006E4A7A"/>
    <w:rsid w:val="006E5A49"/>
    <w:rsid w:val="006F4F6B"/>
    <w:rsid w:val="006F796C"/>
    <w:rsid w:val="007030DC"/>
    <w:rsid w:val="00703AAB"/>
    <w:rsid w:val="00704571"/>
    <w:rsid w:val="00704E80"/>
    <w:rsid w:val="007053CA"/>
    <w:rsid w:val="00705997"/>
    <w:rsid w:val="0071064B"/>
    <w:rsid w:val="00710754"/>
    <w:rsid w:val="00711FB0"/>
    <w:rsid w:val="00717AC2"/>
    <w:rsid w:val="00722C73"/>
    <w:rsid w:val="00723C03"/>
    <w:rsid w:val="00725C46"/>
    <w:rsid w:val="00726BA2"/>
    <w:rsid w:val="00727C88"/>
    <w:rsid w:val="00727CC5"/>
    <w:rsid w:val="0073005F"/>
    <w:rsid w:val="0073058E"/>
    <w:rsid w:val="00731AFC"/>
    <w:rsid w:val="00732F35"/>
    <w:rsid w:val="00733E17"/>
    <w:rsid w:val="007356EC"/>
    <w:rsid w:val="007434E8"/>
    <w:rsid w:val="00751202"/>
    <w:rsid w:val="00754D0C"/>
    <w:rsid w:val="007554D4"/>
    <w:rsid w:val="00755E1F"/>
    <w:rsid w:val="00760627"/>
    <w:rsid w:val="00760D51"/>
    <w:rsid w:val="00765F7F"/>
    <w:rsid w:val="00770A61"/>
    <w:rsid w:val="0077172E"/>
    <w:rsid w:val="00772084"/>
    <w:rsid w:val="007740F2"/>
    <w:rsid w:val="007749B1"/>
    <w:rsid w:val="0077719C"/>
    <w:rsid w:val="00781624"/>
    <w:rsid w:val="00783668"/>
    <w:rsid w:val="007901D1"/>
    <w:rsid w:val="007948D9"/>
    <w:rsid w:val="007950EF"/>
    <w:rsid w:val="007A14C6"/>
    <w:rsid w:val="007A196F"/>
    <w:rsid w:val="007A6297"/>
    <w:rsid w:val="007A6581"/>
    <w:rsid w:val="007B24FB"/>
    <w:rsid w:val="007B27D8"/>
    <w:rsid w:val="007B7997"/>
    <w:rsid w:val="007C4DF6"/>
    <w:rsid w:val="007C61CA"/>
    <w:rsid w:val="007C6FB2"/>
    <w:rsid w:val="007D0D9F"/>
    <w:rsid w:val="007D1CD7"/>
    <w:rsid w:val="007D5AD4"/>
    <w:rsid w:val="007D6301"/>
    <w:rsid w:val="007D6564"/>
    <w:rsid w:val="007D6C23"/>
    <w:rsid w:val="007D7AC4"/>
    <w:rsid w:val="007E0543"/>
    <w:rsid w:val="007E1F30"/>
    <w:rsid w:val="007E28FC"/>
    <w:rsid w:val="007E53B3"/>
    <w:rsid w:val="007E6C33"/>
    <w:rsid w:val="007F06E2"/>
    <w:rsid w:val="007F16F1"/>
    <w:rsid w:val="007F1CFF"/>
    <w:rsid w:val="007F306B"/>
    <w:rsid w:val="007F33A2"/>
    <w:rsid w:val="007F3B20"/>
    <w:rsid w:val="007F62C5"/>
    <w:rsid w:val="007F7F17"/>
    <w:rsid w:val="0080061F"/>
    <w:rsid w:val="008012D3"/>
    <w:rsid w:val="00804B07"/>
    <w:rsid w:val="00805DC6"/>
    <w:rsid w:val="008068DB"/>
    <w:rsid w:val="0081047A"/>
    <w:rsid w:val="0081727A"/>
    <w:rsid w:val="0082070C"/>
    <w:rsid w:val="00821BCA"/>
    <w:rsid w:val="00824046"/>
    <w:rsid w:val="00825CC1"/>
    <w:rsid w:val="00830610"/>
    <w:rsid w:val="00831974"/>
    <w:rsid w:val="00831F28"/>
    <w:rsid w:val="0083609E"/>
    <w:rsid w:val="00837894"/>
    <w:rsid w:val="008379BB"/>
    <w:rsid w:val="008400A9"/>
    <w:rsid w:val="00844B46"/>
    <w:rsid w:val="00847A17"/>
    <w:rsid w:val="00855242"/>
    <w:rsid w:val="0085751D"/>
    <w:rsid w:val="00861FFE"/>
    <w:rsid w:val="00864566"/>
    <w:rsid w:val="00865151"/>
    <w:rsid w:val="00871329"/>
    <w:rsid w:val="0087280F"/>
    <w:rsid w:val="008846A9"/>
    <w:rsid w:val="00894963"/>
    <w:rsid w:val="008A09A7"/>
    <w:rsid w:val="008A1CF4"/>
    <w:rsid w:val="008A4CA9"/>
    <w:rsid w:val="008A545A"/>
    <w:rsid w:val="008A6F22"/>
    <w:rsid w:val="008B4DF5"/>
    <w:rsid w:val="008B7DD3"/>
    <w:rsid w:val="008C03FE"/>
    <w:rsid w:val="008C105C"/>
    <w:rsid w:val="008C18AD"/>
    <w:rsid w:val="008C2D5A"/>
    <w:rsid w:val="008C37C3"/>
    <w:rsid w:val="008C3AAC"/>
    <w:rsid w:val="008C3CF8"/>
    <w:rsid w:val="008C64BC"/>
    <w:rsid w:val="008D2F94"/>
    <w:rsid w:val="008D3611"/>
    <w:rsid w:val="008E131E"/>
    <w:rsid w:val="008E175D"/>
    <w:rsid w:val="008E506C"/>
    <w:rsid w:val="008E6B45"/>
    <w:rsid w:val="008E7454"/>
    <w:rsid w:val="008F459C"/>
    <w:rsid w:val="008F55EA"/>
    <w:rsid w:val="00901774"/>
    <w:rsid w:val="00910593"/>
    <w:rsid w:val="0091278E"/>
    <w:rsid w:val="00915625"/>
    <w:rsid w:val="0092017B"/>
    <w:rsid w:val="00926E61"/>
    <w:rsid w:val="009359F3"/>
    <w:rsid w:val="009441DA"/>
    <w:rsid w:val="00944EC4"/>
    <w:rsid w:val="0094545C"/>
    <w:rsid w:val="00945876"/>
    <w:rsid w:val="00946B0A"/>
    <w:rsid w:val="00951CBA"/>
    <w:rsid w:val="009538AA"/>
    <w:rsid w:val="0095402B"/>
    <w:rsid w:val="00955724"/>
    <w:rsid w:val="0095760D"/>
    <w:rsid w:val="00960973"/>
    <w:rsid w:val="0096123C"/>
    <w:rsid w:val="009724D1"/>
    <w:rsid w:val="00977FE0"/>
    <w:rsid w:val="00980654"/>
    <w:rsid w:val="00982241"/>
    <w:rsid w:val="00987D65"/>
    <w:rsid w:val="00994BB9"/>
    <w:rsid w:val="00995C1C"/>
    <w:rsid w:val="00997DE9"/>
    <w:rsid w:val="009B5EBB"/>
    <w:rsid w:val="009B6DA6"/>
    <w:rsid w:val="009D5512"/>
    <w:rsid w:val="009D7BD1"/>
    <w:rsid w:val="009E083B"/>
    <w:rsid w:val="009E09F5"/>
    <w:rsid w:val="009E221E"/>
    <w:rsid w:val="009E2355"/>
    <w:rsid w:val="009F001D"/>
    <w:rsid w:val="009F30D1"/>
    <w:rsid w:val="009F4BF2"/>
    <w:rsid w:val="00A004E6"/>
    <w:rsid w:val="00A00913"/>
    <w:rsid w:val="00A111C8"/>
    <w:rsid w:val="00A1337C"/>
    <w:rsid w:val="00A16C9D"/>
    <w:rsid w:val="00A20E3A"/>
    <w:rsid w:val="00A21C2F"/>
    <w:rsid w:val="00A2310E"/>
    <w:rsid w:val="00A2662D"/>
    <w:rsid w:val="00A3294A"/>
    <w:rsid w:val="00A32978"/>
    <w:rsid w:val="00A415BC"/>
    <w:rsid w:val="00A41C03"/>
    <w:rsid w:val="00A53D8A"/>
    <w:rsid w:val="00A54873"/>
    <w:rsid w:val="00A610B3"/>
    <w:rsid w:val="00A63ADF"/>
    <w:rsid w:val="00A7211A"/>
    <w:rsid w:val="00A748FF"/>
    <w:rsid w:val="00A7775C"/>
    <w:rsid w:val="00A777DD"/>
    <w:rsid w:val="00A8462F"/>
    <w:rsid w:val="00A879DF"/>
    <w:rsid w:val="00A92019"/>
    <w:rsid w:val="00A923FD"/>
    <w:rsid w:val="00A979AE"/>
    <w:rsid w:val="00AA288E"/>
    <w:rsid w:val="00AA4460"/>
    <w:rsid w:val="00AA52A1"/>
    <w:rsid w:val="00AA731F"/>
    <w:rsid w:val="00AB10D5"/>
    <w:rsid w:val="00AB2EFB"/>
    <w:rsid w:val="00AB31DF"/>
    <w:rsid w:val="00AB64EB"/>
    <w:rsid w:val="00AD5179"/>
    <w:rsid w:val="00AD5865"/>
    <w:rsid w:val="00AD6261"/>
    <w:rsid w:val="00AD7A2D"/>
    <w:rsid w:val="00AE0BF5"/>
    <w:rsid w:val="00AE173D"/>
    <w:rsid w:val="00AE1EF1"/>
    <w:rsid w:val="00AF63D2"/>
    <w:rsid w:val="00B10F88"/>
    <w:rsid w:val="00B116B2"/>
    <w:rsid w:val="00B23704"/>
    <w:rsid w:val="00B3546A"/>
    <w:rsid w:val="00B378AA"/>
    <w:rsid w:val="00B444C9"/>
    <w:rsid w:val="00B45F14"/>
    <w:rsid w:val="00B5755E"/>
    <w:rsid w:val="00B62C01"/>
    <w:rsid w:val="00B62CD8"/>
    <w:rsid w:val="00B64C66"/>
    <w:rsid w:val="00B74F9F"/>
    <w:rsid w:val="00B75E93"/>
    <w:rsid w:val="00B822EF"/>
    <w:rsid w:val="00B823ED"/>
    <w:rsid w:val="00B8481E"/>
    <w:rsid w:val="00B90484"/>
    <w:rsid w:val="00B90829"/>
    <w:rsid w:val="00B92752"/>
    <w:rsid w:val="00B936FB"/>
    <w:rsid w:val="00B969B5"/>
    <w:rsid w:val="00B9706A"/>
    <w:rsid w:val="00BA3B7F"/>
    <w:rsid w:val="00BA513E"/>
    <w:rsid w:val="00BA6329"/>
    <w:rsid w:val="00BA75FB"/>
    <w:rsid w:val="00BA7F4B"/>
    <w:rsid w:val="00BB1FB1"/>
    <w:rsid w:val="00BB2DB6"/>
    <w:rsid w:val="00BB30B3"/>
    <w:rsid w:val="00BB3E50"/>
    <w:rsid w:val="00BC1ED0"/>
    <w:rsid w:val="00BC52F7"/>
    <w:rsid w:val="00BC56E5"/>
    <w:rsid w:val="00BE0567"/>
    <w:rsid w:val="00BE1A87"/>
    <w:rsid w:val="00BE4AD1"/>
    <w:rsid w:val="00BE6EFC"/>
    <w:rsid w:val="00BE715D"/>
    <w:rsid w:val="00BE78B3"/>
    <w:rsid w:val="00BE7AE6"/>
    <w:rsid w:val="00BF0A74"/>
    <w:rsid w:val="00BF59E6"/>
    <w:rsid w:val="00C0184B"/>
    <w:rsid w:val="00C01864"/>
    <w:rsid w:val="00C02E18"/>
    <w:rsid w:val="00C0629D"/>
    <w:rsid w:val="00C103C8"/>
    <w:rsid w:val="00C125E2"/>
    <w:rsid w:val="00C14160"/>
    <w:rsid w:val="00C15E19"/>
    <w:rsid w:val="00C22DE7"/>
    <w:rsid w:val="00C24E74"/>
    <w:rsid w:val="00C2774C"/>
    <w:rsid w:val="00C27D0B"/>
    <w:rsid w:val="00C34134"/>
    <w:rsid w:val="00C36377"/>
    <w:rsid w:val="00C36634"/>
    <w:rsid w:val="00C41E35"/>
    <w:rsid w:val="00C43918"/>
    <w:rsid w:val="00C45298"/>
    <w:rsid w:val="00C45D33"/>
    <w:rsid w:val="00C5193F"/>
    <w:rsid w:val="00C52874"/>
    <w:rsid w:val="00C55595"/>
    <w:rsid w:val="00C57901"/>
    <w:rsid w:val="00C61979"/>
    <w:rsid w:val="00C67893"/>
    <w:rsid w:val="00C7536B"/>
    <w:rsid w:val="00C803A0"/>
    <w:rsid w:val="00C845B6"/>
    <w:rsid w:val="00C86AC8"/>
    <w:rsid w:val="00C93E1A"/>
    <w:rsid w:val="00CA035F"/>
    <w:rsid w:val="00CA2F3C"/>
    <w:rsid w:val="00CA394C"/>
    <w:rsid w:val="00CB009D"/>
    <w:rsid w:val="00CB4B6F"/>
    <w:rsid w:val="00CB4CFC"/>
    <w:rsid w:val="00CB6533"/>
    <w:rsid w:val="00CB6CFC"/>
    <w:rsid w:val="00CC07A4"/>
    <w:rsid w:val="00CC138F"/>
    <w:rsid w:val="00CC1C03"/>
    <w:rsid w:val="00CC2F49"/>
    <w:rsid w:val="00CC613C"/>
    <w:rsid w:val="00CD41BF"/>
    <w:rsid w:val="00CD5F1C"/>
    <w:rsid w:val="00CD6E04"/>
    <w:rsid w:val="00CE0038"/>
    <w:rsid w:val="00CE3189"/>
    <w:rsid w:val="00CE415C"/>
    <w:rsid w:val="00CE48C1"/>
    <w:rsid w:val="00CE736E"/>
    <w:rsid w:val="00CF25AD"/>
    <w:rsid w:val="00CF3EA5"/>
    <w:rsid w:val="00D0050A"/>
    <w:rsid w:val="00D06125"/>
    <w:rsid w:val="00D11823"/>
    <w:rsid w:val="00D11E70"/>
    <w:rsid w:val="00D14DD7"/>
    <w:rsid w:val="00D16DAE"/>
    <w:rsid w:val="00D20911"/>
    <w:rsid w:val="00D22476"/>
    <w:rsid w:val="00D2294B"/>
    <w:rsid w:val="00D2356C"/>
    <w:rsid w:val="00D23857"/>
    <w:rsid w:val="00D36C35"/>
    <w:rsid w:val="00D4151A"/>
    <w:rsid w:val="00D50330"/>
    <w:rsid w:val="00D531B4"/>
    <w:rsid w:val="00D65736"/>
    <w:rsid w:val="00D66712"/>
    <w:rsid w:val="00D727AB"/>
    <w:rsid w:val="00D751DA"/>
    <w:rsid w:val="00D76029"/>
    <w:rsid w:val="00D77E7E"/>
    <w:rsid w:val="00D82B28"/>
    <w:rsid w:val="00D8703A"/>
    <w:rsid w:val="00D9253A"/>
    <w:rsid w:val="00DA5DC5"/>
    <w:rsid w:val="00DB22B9"/>
    <w:rsid w:val="00DB372D"/>
    <w:rsid w:val="00DB4EEF"/>
    <w:rsid w:val="00DB7C4A"/>
    <w:rsid w:val="00DC0158"/>
    <w:rsid w:val="00DC152E"/>
    <w:rsid w:val="00DC1E2C"/>
    <w:rsid w:val="00DC381C"/>
    <w:rsid w:val="00DC423D"/>
    <w:rsid w:val="00DC599F"/>
    <w:rsid w:val="00DC61EA"/>
    <w:rsid w:val="00DD08A9"/>
    <w:rsid w:val="00DD0CB6"/>
    <w:rsid w:val="00DD2EA4"/>
    <w:rsid w:val="00DE2361"/>
    <w:rsid w:val="00DE4C58"/>
    <w:rsid w:val="00DE4EF2"/>
    <w:rsid w:val="00DE4F7C"/>
    <w:rsid w:val="00DE661A"/>
    <w:rsid w:val="00DE7F4D"/>
    <w:rsid w:val="00DF4545"/>
    <w:rsid w:val="00DF660D"/>
    <w:rsid w:val="00E00787"/>
    <w:rsid w:val="00E01C87"/>
    <w:rsid w:val="00E03B79"/>
    <w:rsid w:val="00E0578D"/>
    <w:rsid w:val="00E057E7"/>
    <w:rsid w:val="00E071FA"/>
    <w:rsid w:val="00E11CF7"/>
    <w:rsid w:val="00E1219B"/>
    <w:rsid w:val="00E134FA"/>
    <w:rsid w:val="00E16802"/>
    <w:rsid w:val="00E22B14"/>
    <w:rsid w:val="00E26C5D"/>
    <w:rsid w:val="00E27DB6"/>
    <w:rsid w:val="00E3111B"/>
    <w:rsid w:val="00E424EF"/>
    <w:rsid w:val="00E45624"/>
    <w:rsid w:val="00E534A4"/>
    <w:rsid w:val="00E57E71"/>
    <w:rsid w:val="00E61578"/>
    <w:rsid w:val="00E62008"/>
    <w:rsid w:val="00E63E90"/>
    <w:rsid w:val="00E6647C"/>
    <w:rsid w:val="00E71E41"/>
    <w:rsid w:val="00E739D3"/>
    <w:rsid w:val="00E76EAF"/>
    <w:rsid w:val="00E8054C"/>
    <w:rsid w:val="00E84C41"/>
    <w:rsid w:val="00E84D57"/>
    <w:rsid w:val="00E916C7"/>
    <w:rsid w:val="00E92AF1"/>
    <w:rsid w:val="00E963A7"/>
    <w:rsid w:val="00E96E02"/>
    <w:rsid w:val="00EA1165"/>
    <w:rsid w:val="00EA1AE9"/>
    <w:rsid w:val="00EA241D"/>
    <w:rsid w:val="00EA303E"/>
    <w:rsid w:val="00EA4956"/>
    <w:rsid w:val="00EA537E"/>
    <w:rsid w:val="00EA65F0"/>
    <w:rsid w:val="00EA70EB"/>
    <w:rsid w:val="00EB245D"/>
    <w:rsid w:val="00EB24D3"/>
    <w:rsid w:val="00EB36EC"/>
    <w:rsid w:val="00EB3CD7"/>
    <w:rsid w:val="00EB3D42"/>
    <w:rsid w:val="00EC178B"/>
    <w:rsid w:val="00EC5324"/>
    <w:rsid w:val="00EC6A6E"/>
    <w:rsid w:val="00ED253A"/>
    <w:rsid w:val="00ED3FFE"/>
    <w:rsid w:val="00EE34C6"/>
    <w:rsid w:val="00EE7635"/>
    <w:rsid w:val="00EF3353"/>
    <w:rsid w:val="00EF3724"/>
    <w:rsid w:val="00EF6C5D"/>
    <w:rsid w:val="00EF7518"/>
    <w:rsid w:val="00EF76E9"/>
    <w:rsid w:val="00F01162"/>
    <w:rsid w:val="00F01461"/>
    <w:rsid w:val="00F02F2D"/>
    <w:rsid w:val="00F07B29"/>
    <w:rsid w:val="00F10F4E"/>
    <w:rsid w:val="00F129BB"/>
    <w:rsid w:val="00F1439D"/>
    <w:rsid w:val="00F15671"/>
    <w:rsid w:val="00F16854"/>
    <w:rsid w:val="00F17DAE"/>
    <w:rsid w:val="00F20E5C"/>
    <w:rsid w:val="00F235A3"/>
    <w:rsid w:val="00F25289"/>
    <w:rsid w:val="00F27970"/>
    <w:rsid w:val="00F32583"/>
    <w:rsid w:val="00F348FD"/>
    <w:rsid w:val="00F36112"/>
    <w:rsid w:val="00F401DD"/>
    <w:rsid w:val="00F40787"/>
    <w:rsid w:val="00F425FB"/>
    <w:rsid w:val="00F509AD"/>
    <w:rsid w:val="00F51D18"/>
    <w:rsid w:val="00F526AA"/>
    <w:rsid w:val="00F5275D"/>
    <w:rsid w:val="00F5642A"/>
    <w:rsid w:val="00F62202"/>
    <w:rsid w:val="00F65E15"/>
    <w:rsid w:val="00F73B5D"/>
    <w:rsid w:val="00F7521F"/>
    <w:rsid w:val="00F77AE3"/>
    <w:rsid w:val="00F83BC9"/>
    <w:rsid w:val="00F84BE5"/>
    <w:rsid w:val="00F916E6"/>
    <w:rsid w:val="00F931E9"/>
    <w:rsid w:val="00F968C7"/>
    <w:rsid w:val="00FA17B6"/>
    <w:rsid w:val="00FA2D10"/>
    <w:rsid w:val="00FA2E95"/>
    <w:rsid w:val="00FA3E7C"/>
    <w:rsid w:val="00FA6A32"/>
    <w:rsid w:val="00FA6C83"/>
    <w:rsid w:val="00FB222F"/>
    <w:rsid w:val="00FB4E8D"/>
    <w:rsid w:val="00FB6992"/>
    <w:rsid w:val="00FC01F0"/>
    <w:rsid w:val="00FC242A"/>
    <w:rsid w:val="00FC31C7"/>
    <w:rsid w:val="00FC631D"/>
    <w:rsid w:val="00FC6329"/>
    <w:rsid w:val="00FC7889"/>
    <w:rsid w:val="00FE11D3"/>
    <w:rsid w:val="00FF0615"/>
    <w:rsid w:val="00FF0AAC"/>
    <w:rsid w:val="00FF1C92"/>
    <w:rsid w:val="00FF77E6"/>
    <w:rsid w:val="00FF7B35"/>
    <w:rsid w:val="00FF7E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1047A"/>
    <w:pPr>
      <w:spacing w:before="120"/>
      <w:jc w:val="both"/>
    </w:pPr>
  </w:style>
  <w:style w:type="paragraph" w:styleId="Heading1">
    <w:name w:val="heading 1"/>
    <w:basedOn w:val="Normal"/>
    <w:next w:val="Normal"/>
    <w:link w:val="Heading1Char"/>
    <w:uiPriority w:val="99"/>
    <w:qFormat/>
    <w:rsid w:val="00980654"/>
    <w:pPr>
      <w:keepNext/>
      <w:keepLines/>
      <w:spacing w:before="240"/>
      <w:outlineLvl w:val="0"/>
    </w:pPr>
    <w:rPr>
      <w:rFonts w:ascii="Calibri Light" w:hAnsi="Calibri Light"/>
      <w:color w:val="003366"/>
      <w:sz w:val="32"/>
      <w:szCs w:val="32"/>
    </w:rPr>
  </w:style>
  <w:style w:type="paragraph" w:styleId="Heading2">
    <w:name w:val="heading 2"/>
    <w:basedOn w:val="Normal"/>
    <w:next w:val="Normal"/>
    <w:link w:val="Heading2Char"/>
    <w:uiPriority w:val="99"/>
    <w:qFormat/>
    <w:rsid w:val="002E6F8C"/>
    <w:pPr>
      <w:keepNext/>
      <w:keepLines/>
      <w:spacing w:before="240" w:after="120"/>
      <w:outlineLvl w:val="1"/>
    </w:pPr>
    <w:rPr>
      <w:rFonts w:ascii="Calibri Light" w:hAnsi="Calibri Light"/>
      <w:color w:val="003366"/>
      <w:sz w:val="26"/>
      <w:szCs w:val="26"/>
    </w:rPr>
  </w:style>
  <w:style w:type="paragraph" w:styleId="Heading3">
    <w:name w:val="heading 3"/>
    <w:basedOn w:val="Normal"/>
    <w:next w:val="Normal"/>
    <w:link w:val="Heading3Char"/>
    <w:uiPriority w:val="99"/>
    <w:qFormat/>
    <w:rsid w:val="00727C88"/>
    <w:pPr>
      <w:keepNext/>
      <w:keepLines/>
      <w:spacing w:before="40"/>
      <w:outlineLvl w:val="2"/>
    </w:pPr>
    <w:rPr>
      <w:rFonts w:ascii="Calibri Light" w:hAnsi="Calibri Light"/>
      <w:color w:val="1F4D78"/>
      <w:sz w:val="24"/>
      <w:szCs w:val="24"/>
    </w:rPr>
  </w:style>
  <w:style w:type="paragraph" w:styleId="Heading4">
    <w:name w:val="heading 4"/>
    <w:basedOn w:val="Normal"/>
    <w:next w:val="Normal"/>
    <w:link w:val="Heading4Char"/>
    <w:uiPriority w:val="99"/>
    <w:qFormat/>
    <w:locked/>
    <w:rsid w:val="00450CF3"/>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80654"/>
    <w:rPr>
      <w:rFonts w:ascii="Calibri Light" w:hAnsi="Calibri Light"/>
      <w:color w:val="003366"/>
      <w:sz w:val="32"/>
      <w:lang w:val="en-US" w:eastAsia="en-US"/>
    </w:rPr>
  </w:style>
  <w:style w:type="character" w:customStyle="1" w:styleId="Heading2Char">
    <w:name w:val="Heading 2 Char"/>
    <w:basedOn w:val="DefaultParagraphFont"/>
    <w:link w:val="Heading2"/>
    <w:uiPriority w:val="99"/>
    <w:locked/>
    <w:rsid w:val="002E6F8C"/>
    <w:rPr>
      <w:rFonts w:ascii="Calibri Light" w:hAnsi="Calibri Light"/>
      <w:color w:val="003366"/>
      <w:sz w:val="26"/>
      <w:lang w:val="en-US" w:eastAsia="en-US"/>
    </w:rPr>
  </w:style>
  <w:style w:type="character" w:customStyle="1" w:styleId="Heading3Char">
    <w:name w:val="Heading 3 Char"/>
    <w:basedOn w:val="DefaultParagraphFont"/>
    <w:link w:val="Heading3"/>
    <w:uiPriority w:val="99"/>
    <w:locked/>
    <w:rsid w:val="00727C88"/>
    <w:rPr>
      <w:rFonts w:ascii="Calibri Light" w:hAnsi="Calibri Light"/>
      <w:color w:val="1F4D78"/>
      <w:sz w:val="24"/>
    </w:rPr>
  </w:style>
  <w:style w:type="character" w:customStyle="1" w:styleId="Heading4Char">
    <w:name w:val="Heading 4 Char"/>
    <w:basedOn w:val="DefaultParagraphFont"/>
    <w:link w:val="Heading4"/>
    <w:uiPriority w:val="99"/>
    <w:semiHidden/>
    <w:locked/>
    <w:rsid w:val="00AD6261"/>
    <w:rPr>
      <w:rFonts w:ascii="Calibri" w:hAnsi="Calibri"/>
      <w:b/>
      <w:sz w:val="28"/>
    </w:rPr>
  </w:style>
  <w:style w:type="paragraph" w:styleId="BalloonText">
    <w:name w:val="Balloon Text"/>
    <w:basedOn w:val="Normal"/>
    <w:link w:val="BalloonTextChar"/>
    <w:uiPriority w:val="99"/>
    <w:semiHidden/>
    <w:rsid w:val="0081047A"/>
    <w:pPr>
      <w:spacing w:before="0"/>
      <w:jc w:val="left"/>
    </w:pPr>
    <w:rPr>
      <w:rFonts w:ascii="Times New Roman" w:hAnsi="Times New Roman"/>
      <w:sz w:val="20"/>
      <w:szCs w:val="20"/>
    </w:rPr>
  </w:style>
  <w:style w:type="character" w:customStyle="1" w:styleId="BalloonTextChar">
    <w:name w:val="Balloon Text Char"/>
    <w:basedOn w:val="DefaultParagraphFont"/>
    <w:link w:val="BalloonText"/>
    <w:uiPriority w:val="99"/>
    <w:semiHidden/>
    <w:locked/>
    <w:rsid w:val="0081047A"/>
    <w:rPr>
      <w:rFonts w:ascii="Times New Roman" w:hAnsi="Times New Roman"/>
      <w:sz w:val="20"/>
      <w:szCs w:val="20"/>
    </w:rPr>
  </w:style>
  <w:style w:type="paragraph" w:styleId="TOCHeading">
    <w:name w:val="TOC Heading"/>
    <w:basedOn w:val="Heading1"/>
    <w:next w:val="Normal"/>
    <w:uiPriority w:val="99"/>
    <w:qFormat/>
    <w:rsid w:val="007F33A2"/>
    <w:pPr>
      <w:spacing w:line="259" w:lineRule="auto"/>
      <w:jc w:val="left"/>
      <w:outlineLvl w:val="9"/>
    </w:pPr>
  </w:style>
  <w:style w:type="paragraph" w:styleId="Header">
    <w:name w:val="header"/>
    <w:basedOn w:val="Normal"/>
    <w:link w:val="HeaderChar"/>
    <w:uiPriority w:val="99"/>
    <w:rsid w:val="007F33A2"/>
    <w:pPr>
      <w:tabs>
        <w:tab w:val="center" w:pos="4680"/>
        <w:tab w:val="right" w:pos="9360"/>
      </w:tabs>
      <w:spacing w:before="0"/>
      <w:ind w:left="360" w:hanging="360"/>
      <w:jc w:val="left"/>
    </w:pPr>
    <w:rPr>
      <w:sz w:val="20"/>
      <w:szCs w:val="20"/>
    </w:rPr>
  </w:style>
  <w:style w:type="character" w:customStyle="1" w:styleId="HeaderChar">
    <w:name w:val="Header Char"/>
    <w:basedOn w:val="DefaultParagraphFont"/>
    <w:link w:val="Header"/>
    <w:uiPriority w:val="99"/>
    <w:locked/>
    <w:rsid w:val="007F33A2"/>
    <w:rPr>
      <w:rFonts w:ascii="Calibri" w:hAnsi="Calibri"/>
    </w:rPr>
  </w:style>
  <w:style w:type="table" w:styleId="TableGrid">
    <w:name w:val="Table Grid"/>
    <w:basedOn w:val="TableNormal"/>
    <w:uiPriority w:val="99"/>
    <w:rsid w:val="001316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1">
    <w:name w:val="Grid Table 1 Light - Accent 11"/>
    <w:uiPriority w:val="99"/>
    <w:rsid w:val="00131617"/>
    <w:rPr>
      <w:sz w:val="20"/>
      <w:szCs w:val="20"/>
    </w:rPr>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style>
  <w:style w:type="table" w:customStyle="1" w:styleId="GridTable3-Accent11">
    <w:name w:val="Grid Table 3 - Accent 11"/>
    <w:uiPriority w:val="99"/>
    <w:rsid w:val="00131617"/>
    <w:rPr>
      <w:sz w:val="20"/>
      <w:szCs w:val="20"/>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1"/>
    <w:uiPriority w:val="99"/>
    <w:rsid w:val="006318AB"/>
    <w:pPr>
      <w:spacing w:before="0" w:line="276"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uiPriority w:val="99"/>
    <w:semiHidden/>
    <w:rsid w:val="00C75766"/>
    <w:rPr>
      <w:sz w:val="20"/>
      <w:szCs w:val="20"/>
    </w:rPr>
  </w:style>
  <w:style w:type="character" w:customStyle="1" w:styleId="FootnoteTextChar10">
    <w:name w:val="Footnote Text Char10"/>
    <w:aliases w:val="Footnote Text Char Char Char1 Char10,Char Char Char Char Char11,Char Char Char1 Char10,Char Char Char Char Char Char Char10,Footnote Text Char Char Char Char Char10,Char Char Char Char Char1 Char10,Char Char Char Char19,f Char10"/>
    <w:uiPriority w:val="99"/>
    <w:rPr>
      <w:sz w:val="20"/>
    </w:rPr>
  </w:style>
  <w:style w:type="character" w:customStyle="1" w:styleId="FootnoteTextChar9">
    <w:name w:val="Footnote Text Char9"/>
    <w:aliases w:val="Footnote Text Char Char Char1 Char9,Char Char Char Char Char10,Char Char Char1 Char9,Char Char Char Char Char Char Char9,Footnote Text Char Char Char Char Char9,Char Char Char Char Char1 Char9,Char Char Char Char18,f Char9,fn Char9"/>
    <w:uiPriority w:val="99"/>
    <w:semiHidden/>
    <w:locked/>
    <w:rsid w:val="00EE7635"/>
    <w:rPr>
      <w:sz w:val="20"/>
    </w:rPr>
  </w:style>
  <w:style w:type="character" w:customStyle="1" w:styleId="FootnoteTextChar8">
    <w:name w:val="Footnote Text Char8"/>
    <w:aliases w:val="Footnote Text Char Char Char1 Char8,Char Char Char Char Char9,Char Char Char1 Char8,Char Char Char Char Char Char Char8,Footnote Text Char Char Char Char Char8,Char Char Char Char Char1 Char8,Char Char Char Char17,f Char8,fn Char8"/>
    <w:uiPriority w:val="99"/>
    <w:semiHidden/>
    <w:locked/>
    <w:rsid w:val="00294E19"/>
    <w:rPr>
      <w:sz w:val="20"/>
    </w:rPr>
  </w:style>
  <w:style w:type="character" w:customStyle="1" w:styleId="FootnoteTextChar7">
    <w:name w:val="Footnote Text Char7"/>
    <w:aliases w:val="Footnote Text Char Char Char1 Char7,Char Char Char Char Char8,Char Char Char1 Char7,Char Char Char Char Char Char Char7,Footnote Text Char Char Char Char Char7,Char Char Char Char Char1 Char7,Char Char Char Char16,f Char7,fn Char7"/>
    <w:uiPriority w:val="99"/>
    <w:semiHidden/>
    <w:locked/>
    <w:rsid w:val="00AF63D2"/>
    <w:rPr>
      <w:sz w:val="20"/>
    </w:rPr>
  </w:style>
  <w:style w:type="character" w:customStyle="1" w:styleId="FootnoteTextChar6">
    <w:name w:val="Footnote Text Char6"/>
    <w:aliases w:val="Footnote Text Char Char Char1 Char6,Char Char Char Char Char7,Char Char Char1 Char6,Char Char Char Char Char Char Char6,Footnote Text Char Char Char Char Char6,Char Char Char Char Char1 Char6,Char Char Char Char15,f Char6,fn Char6"/>
    <w:uiPriority w:val="99"/>
    <w:semiHidden/>
    <w:rsid w:val="002B7106"/>
    <w:rPr>
      <w:sz w:val="20"/>
    </w:rPr>
  </w:style>
  <w:style w:type="character" w:customStyle="1" w:styleId="FootnoteTextChar5">
    <w:name w:val="Footnote Text Char5"/>
    <w:aliases w:val="Footnote Text Char Char Char1 Char5,Char Char Char Char Char6,Char Char Char1 Char5,Char Char Char Char Char Char Char5,Footnote Text Char Char Char Char Char5,Char Char Char Char Char1 Char5,Char Char Char Char14,f Char5,fn Char5"/>
    <w:uiPriority w:val="99"/>
    <w:semiHidden/>
    <w:rsid w:val="00EA303E"/>
    <w:rPr>
      <w:sz w:val="20"/>
    </w:rPr>
  </w:style>
  <w:style w:type="character" w:customStyle="1" w:styleId="FootnoteTextChar4">
    <w:name w:val="Footnote Text Char4"/>
    <w:aliases w:val="Footnote Text Char Char Char1 Char4,Char Char Char Char Char5,Char Char Char1 Char4,Char Char Char Char Char Char Char4,Footnote Text Char Char Char Char Char4,Char Char Char Char Char1 Char4,Char Char Char Char13,f Char4,fn Char4"/>
    <w:uiPriority w:val="99"/>
    <w:semiHidden/>
    <w:locked/>
    <w:rsid w:val="006E4A7A"/>
    <w:rPr>
      <w:sz w:val="20"/>
    </w:rPr>
  </w:style>
  <w:style w:type="character" w:customStyle="1" w:styleId="FootnoteTextChar3">
    <w:name w:val="Footnote Text Char3"/>
    <w:aliases w:val="Footnote Text Char Char Char1 Char3,Char Char Char Char Char4,Char Char Char1 Char3,Char Char Char Char Char Char Char3,Footnote Text Char Char Char Char Char3,Char Char Char Char Char1 Char3,Char Char Char Char12,f Char3,fn Char3"/>
    <w:uiPriority w:val="99"/>
    <w:semiHidden/>
    <w:locked/>
    <w:rsid w:val="00705997"/>
    <w:rPr>
      <w:sz w:val="20"/>
    </w:rPr>
  </w:style>
  <w:style w:type="character" w:customStyle="1" w:styleId="FootnoteTextChar2">
    <w:name w:val="Footnote Text Char2"/>
    <w:aliases w:val="Footnote Text Char Char Char1 Char2,Char Char Char Char Char3,Char Char Char1 Char2,Char Char Char Char Char Char Char2,Footnote Text Char Char Char Char Char2,Char Char Char Char Char1 Char2,Char Char Char Char11,f Char2,fn Char2"/>
    <w:uiPriority w:val="99"/>
    <w:semiHidden/>
    <w:rsid w:val="006318AB"/>
    <w:rPr>
      <w:sz w:val="20"/>
    </w:rPr>
  </w:style>
  <w:style w:type="character" w:customStyle="1" w:styleId="FootnoteTextChar1">
    <w:name w:val="Footnote Text Char1"/>
    <w:aliases w:val="Footnote Text Char Char Char1 Char1,Char Char Char Char Char2,Char Char Char1 Char1,Char Char Char Char Char Char Char1,Footnote Text Char Char Char Char Char1,Char Char Char Char Char1 Char1,Char Char Char Char2,f Char1,fn Char1"/>
    <w:link w:val="FootnoteText"/>
    <w:uiPriority w:val="99"/>
    <w:locked/>
    <w:rsid w:val="006318AB"/>
    <w:rPr>
      <w:rFonts w:ascii="Calibri" w:hAnsi="Calibri"/>
      <w:sz w:val="20"/>
    </w:rPr>
  </w:style>
  <w:style w:type="character" w:styleId="FootnoteReference">
    <w:name w:val="footnote reference"/>
    <w:aliases w:val="BVI fnr,ftref,Footnotes refss,Fussnota,Footnote symbol,Footnote reference number,Times 10 Point,Exposant 3 Point,EN Footnote Reference,note TESI,Footnote Reference Superscript,Zchn Zchn,Footnote number,Footnote Reference Num"/>
    <w:basedOn w:val="DefaultParagraphFont"/>
    <w:link w:val="BVIfnrChar1Char"/>
    <w:uiPriority w:val="99"/>
    <w:locked/>
    <w:rsid w:val="006318AB"/>
    <w:rPr>
      <w:rFonts w:ascii="Calibri" w:hAnsi="Calibri" w:cs="Times New Roman"/>
      <w:sz w:val="20"/>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6318AB"/>
    <w:pPr>
      <w:spacing w:after="120" w:line="240" w:lineRule="exact"/>
      <w:jc w:val="left"/>
    </w:pPr>
    <w:rPr>
      <w:sz w:val="20"/>
      <w:szCs w:val="20"/>
      <w:vertAlign w:val="superscript"/>
    </w:rPr>
  </w:style>
  <w:style w:type="character" w:customStyle="1" w:styleId="ResponsecategsCharChar">
    <w:name w:val="Response categs..... Char Char"/>
    <w:link w:val="ResponsecategsChar"/>
    <w:uiPriority w:val="99"/>
    <w:locked/>
    <w:rsid w:val="00D82B28"/>
    <w:rPr>
      <w:rFonts w:ascii="Arial" w:hAnsi="Arial"/>
      <w:sz w:val="20"/>
      <w:lang w:eastAsia="ja-JP"/>
    </w:rPr>
  </w:style>
  <w:style w:type="paragraph" w:customStyle="1" w:styleId="ResponsecategsChar">
    <w:name w:val="Response categs..... Char"/>
    <w:basedOn w:val="Normal"/>
    <w:link w:val="ResponsecategsCharChar"/>
    <w:uiPriority w:val="99"/>
    <w:rsid w:val="00D82B28"/>
    <w:pPr>
      <w:tabs>
        <w:tab w:val="right" w:leader="dot" w:pos="3942"/>
      </w:tabs>
      <w:spacing w:before="0"/>
      <w:ind w:left="216" w:hanging="216"/>
      <w:jc w:val="left"/>
    </w:pPr>
    <w:rPr>
      <w:rFonts w:ascii="Arial" w:hAnsi="Arial"/>
      <w:sz w:val="20"/>
      <w:szCs w:val="20"/>
      <w:lang w:eastAsia="ja-JP"/>
    </w:rPr>
  </w:style>
  <w:style w:type="paragraph" w:styleId="ListParagraph">
    <w:name w:val="List Paragraph"/>
    <w:basedOn w:val="Normal"/>
    <w:uiPriority w:val="34"/>
    <w:qFormat/>
    <w:rsid w:val="00A7211A"/>
    <w:pPr>
      <w:ind w:left="720"/>
      <w:contextualSpacing/>
    </w:pPr>
  </w:style>
  <w:style w:type="paragraph" w:styleId="Footer">
    <w:name w:val="footer"/>
    <w:basedOn w:val="Normal"/>
    <w:link w:val="FooterChar"/>
    <w:uiPriority w:val="99"/>
    <w:rsid w:val="001401F2"/>
    <w:pPr>
      <w:tabs>
        <w:tab w:val="center" w:pos="4680"/>
        <w:tab w:val="right" w:pos="9360"/>
      </w:tabs>
      <w:spacing w:before="0"/>
    </w:pPr>
    <w:rPr>
      <w:sz w:val="20"/>
      <w:szCs w:val="20"/>
    </w:rPr>
  </w:style>
  <w:style w:type="character" w:customStyle="1" w:styleId="FooterChar">
    <w:name w:val="Footer Char"/>
    <w:basedOn w:val="DefaultParagraphFont"/>
    <w:link w:val="Footer"/>
    <w:uiPriority w:val="99"/>
    <w:locked/>
    <w:rsid w:val="001401F2"/>
  </w:style>
  <w:style w:type="paragraph" w:styleId="TOC1">
    <w:name w:val="toc 1"/>
    <w:basedOn w:val="Normal"/>
    <w:next w:val="Normal"/>
    <w:autoRedefine/>
    <w:uiPriority w:val="39"/>
    <w:rsid w:val="00727C88"/>
    <w:pPr>
      <w:spacing w:after="100"/>
    </w:pPr>
  </w:style>
  <w:style w:type="character" w:styleId="Hyperlink">
    <w:name w:val="Hyperlink"/>
    <w:basedOn w:val="DefaultParagraphFont"/>
    <w:uiPriority w:val="99"/>
    <w:rsid w:val="00727C88"/>
    <w:rPr>
      <w:rFonts w:cs="Times New Roman"/>
      <w:color w:val="0563C1"/>
      <w:u w:val="single"/>
    </w:rPr>
  </w:style>
  <w:style w:type="paragraph" w:styleId="TOC2">
    <w:name w:val="toc 2"/>
    <w:basedOn w:val="Normal"/>
    <w:next w:val="Normal"/>
    <w:autoRedefine/>
    <w:uiPriority w:val="99"/>
    <w:rsid w:val="00727CC5"/>
    <w:pPr>
      <w:spacing w:after="100"/>
      <w:ind w:left="220"/>
    </w:pPr>
  </w:style>
  <w:style w:type="paragraph" w:styleId="TOC3">
    <w:name w:val="toc 3"/>
    <w:basedOn w:val="Normal"/>
    <w:next w:val="Normal"/>
    <w:autoRedefine/>
    <w:uiPriority w:val="99"/>
    <w:rsid w:val="00727CC5"/>
    <w:pPr>
      <w:spacing w:after="100"/>
      <w:ind w:left="440"/>
    </w:pPr>
  </w:style>
  <w:style w:type="paragraph" w:customStyle="1" w:styleId="Default">
    <w:name w:val="Default"/>
    <w:uiPriority w:val="99"/>
    <w:rsid w:val="00450CF3"/>
    <w:pPr>
      <w:autoSpaceDE w:val="0"/>
      <w:autoSpaceDN w:val="0"/>
      <w:adjustRightInd w:val="0"/>
    </w:pPr>
    <w:rPr>
      <w:rFonts w:ascii="Bookman Old Style" w:eastAsia="MS Mincho" w:hAnsi="Bookman Old Style" w:cs="Bookman Old Style"/>
      <w:color w:val="000000"/>
      <w:sz w:val="24"/>
      <w:szCs w:val="24"/>
      <w:lang w:eastAsia="ja-JP"/>
    </w:rPr>
  </w:style>
  <w:style w:type="character" w:styleId="CommentReference">
    <w:name w:val="annotation reference"/>
    <w:basedOn w:val="DefaultParagraphFont"/>
    <w:uiPriority w:val="99"/>
    <w:semiHidden/>
    <w:rsid w:val="00420DED"/>
    <w:rPr>
      <w:rFonts w:cs="Times New Roman"/>
      <w:sz w:val="16"/>
    </w:rPr>
  </w:style>
  <w:style w:type="paragraph" w:styleId="CommentText">
    <w:name w:val="annotation text"/>
    <w:basedOn w:val="Normal"/>
    <w:link w:val="CommentTextChar"/>
    <w:uiPriority w:val="99"/>
    <w:semiHidden/>
    <w:rsid w:val="00420DED"/>
    <w:rPr>
      <w:sz w:val="20"/>
      <w:szCs w:val="20"/>
    </w:rPr>
  </w:style>
  <w:style w:type="character" w:customStyle="1" w:styleId="CommentTextChar">
    <w:name w:val="Comment Text Char"/>
    <w:basedOn w:val="DefaultParagraphFont"/>
    <w:link w:val="CommentText"/>
    <w:uiPriority w:val="99"/>
    <w:semiHidden/>
    <w:locked/>
    <w:rsid w:val="00420DED"/>
    <w:rPr>
      <w:sz w:val="20"/>
    </w:rPr>
  </w:style>
  <w:style w:type="paragraph" w:styleId="CommentSubject">
    <w:name w:val="annotation subject"/>
    <w:basedOn w:val="CommentText"/>
    <w:next w:val="CommentText"/>
    <w:link w:val="CommentSubjectChar"/>
    <w:uiPriority w:val="99"/>
    <w:semiHidden/>
    <w:rsid w:val="00420DED"/>
    <w:rPr>
      <w:b/>
      <w:bCs/>
    </w:rPr>
  </w:style>
  <w:style w:type="character" w:customStyle="1" w:styleId="CommentSubjectChar">
    <w:name w:val="Comment Subject Char"/>
    <w:basedOn w:val="CommentTextChar"/>
    <w:link w:val="CommentSubject"/>
    <w:uiPriority w:val="99"/>
    <w:semiHidden/>
    <w:locked/>
    <w:rsid w:val="00420DED"/>
    <w:rPr>
      <w:b/>
      <w:sz w:val="20"/>
    </w:rPr>
  </w:style>
  <w:style w:type="character" w:customStyle="1" w:styleId="CharChar6">
    <w:name w:val="Char Char6"/>
    <w:uiPriority w:val="99"/>
    <w:rsid w:val="00281EAA"/>
    <w:rPr>
      <w:rFonts w:eastAsia="Times New Roman"/>
      <w:color w:val="003366"/>
      <w:sz w:val="24"/>
      <w:lang w:eastAsia="ro-RO"/>
    </w:rPr>
  </w:style>
  <w:style w:type="paragraph" w:styleId="Revision">
    <w:name w:val="Revision"/>
    <w:hidden/>
    <w:uiPriority w:val="99"/>
    <w:semiHidden/>
    <w:rsid w:val="008172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1047A"/>
    <w:pPr>
      <w:spacing w:before="120"/>
      <w:jc w:val="both"/>
    </w:pPr>
  </w:style>
  <w:style w:type="paragraph" w:styleId="Heading1">
    <w:name w:val="heading 1"/>
    <w:basedOn w:val="Normal"/>
    <w:next w:val="Normal"/>
    <w:link w:val="Heading1Char"/>
    <w:uiPriority w:val="99"/>
    <w:qFormat/>
    <w:rsid w:val="00980654"/>
    <w:pPr>
      <w:keepNext/>
      <w:keepLines/>
      <w:spacing w:before="240"/>
      <w:outlineLvl w:val="0"/>
    </w:pPr>
    <w:rPr>
      <w:rFonts w:ascii="Calibri Light" w:hAnsi="Calibri Light"/>
      <w:color w:val="003366"/>
      <w:sz w:val="32"/>
      <w:szCs w:val="32"/>
    </w:rPr>
  </w:style>
  <w:style w:type="paragraph" w:styleId="Heading2">
    <w:name w:val="heading 2"/>
    <w:basedOn w:val="Normal"/>
    <w:next w:val="Normal"/>
    <w:link w:val="Heading2Char"/>
    <w:uiPriority w:val="99"/>
    <w:qFormat/>
    <w:rsid w:val="002E6F8C"/>
    <w:pPr>
      <w:keepNext/>
      <w:keepLines/>
      <w:spacing w:before="240" w:after="120"/>
      <w:outlineLvl w:val="1"/>
    </w:pPr>
    <w:rPr>
      <w:rFonts w:ascii="Calibri Light" w:hAnsi="Calibri Light"/>
      <w:color w:val="003366"/>
      <w:sz w:val="26"/>
      <w:szCs w:val="26"/>
    </w:rPr>
  </w:style>
  <w:style w:type="paragraph" w:styleId="Heading3">
    <w:name w:val="heading 3"/>
    <w:basedOn w:val="Normal"/>
    <w:next w:val="Normal"/>
    <w:link w:val="Heading3Char"/>
    <w:uiPriority w:val="99"/>
    <w:qFormat/>
    <w:rsid w:val="00727C88"/>
    <w:pPr>
      <w:keepNext/>
      <w:keepLines/>
      <w:spacing w:before="40"/>
      <w:outlineLvl w:val="2"/>
    </w:pPr>
    <w:rPr>
      <w:rFonts w:ascii="Calibri Light" w:hAnsi="Calibri Light"/>
      <w:color w:val="1F4D78"/>
      <w:sz w:val="24"/>
      <w:szCs w:val="24"/>
    </w:rPr>
  </w:style>
  <w:style w:type="paragraph" w:styleId="Heading4">
    <w:name w:val="heading 4"/>
    <w:basedOn w:val="Normal"/>
    <w:next w:val="Normal"/>
    <w:link w:val="Heading4Char"/>
    <w:uiPriority w:val="99"/>
    <w:qFormat/>
    <w:locked/>
    <w:rsid w:val="00450CF3"/>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80654"/>
    <w:rPr>
      <w:rFonts w:ascii="Calibri Light" w:hAnsi="Calibri Light"/>
      <w:color w:val="003366"/>
      <w:sz w:val="32"/>
      <w:lang w:val="en-US" w:eastAsia="en-US"/>
    </w:rPr>
  </w:style>
  <w:style w:type="character" w:customStyle="1" w:styleId="Heading2Char">
    <w:name w:val="Heading 2 Char"/>
    <w:basedOn w:val="DefaultParagraphFont"/>
    <w:link w:val="Heading2"/>
    <w:uiPriority w:val="99"/>
    <w:locked/>
    <w:rsid w:val="002E6F8C"/>
    <w:rPr>
      <w:rFonts w:ascii="Calibri Light" w:hAnsi="Calibri Light"/>
      <w:color w:val="003366"/>
      <w:sz w:val="26"/>
      <w:lang w:val="en-US" w:eastAsia="en-US"/>
    </w:rPr>
  </w:style>
  <w:style w:type="character" w:customStyle="1" w:styleId="Heading3Char">
    <w:name w:val="Heading 3 Char"/>
    <w:basedOn w:val="DefaultParagraphFont"/>
    <w:link w:val="Heading3"/>
    <w:uiPriority w:val="99"/>
    <w:locked/>
    <w:rsid w:val="00727C88"/>
    <w:rPr>
      <w:rFonts w:ascii="Calibri Light" w:hAnsi="Calibri Light"/>
      <w:color w:val="1F4D78"/>
      <w:sz w:val="24"/>
    </w:rPr>
  </w:style>
  <w:style w:type="character" w:customStyle="1" w:styleId="Heading4Char">
    <w:name w:val="Heading 4 Char"/>
    <w:basedOn w:val="DefaultParagraphFont"/>
    <w:link w:val="Heading4"/>
    <w:uiPriority w:val="99"/>
    <w:semiHidden/>
    <w:locked/>
    <w:rsid w:val="00AD6261"/>
    <w:rPr>
      <w:rFonts w:ascii="Calibri" w:hAnsi="Calibri"/>
      <w:b/>
      <w:sz w:val="28"/>
    </w:rPr>
  </w:style>
  <w:style w:type="paragraph" w:styleId="BalloonText">
    <w:name w:val="Balloon Text"/>
    <w:basedOn w:val="Normal"/>
    <w:link w:val="BalloonTextChar"/>
    <w:uiPriority w:val="99"/>
    <w:semiHidden/>
    <w:rsid w:val="0081047A"/>
    <w:pPr>
      <w:spacing w:before="0"/>
      <w:jc w:val="left"/>
    </w:pPr>
    <w:rPr>
      <w:rFonts w:ascii="Times New Roman" w:hAnsi="Times New Roman"/>
      <w:sz w:val="20"/>
      <w:szCs w:val="20"/>
    </w:rPr>
  </w:style>
  <w:style w:type="character" w:customStyle="1" w:styleId="BalloonTextChar">
    <w:name w:val="Balloon Text Char"/>
    <w:basedOn w:val="DefaultParagraphFont"/>
    <w:link w:val="BalloonText"/>
    <w:uiPriority w:val="99"/>
    <w:semiHidden/>
    <w:locked/>
    <w:rsid w:val="0081047A"/>
    <w:rPr>
      <w:rFonts w:ascii="Times New Roman" w:hAnsi="Times New Roman"/>
      <w:sz w:val="20"/>
      <w:szCs w:val="20"/>
    </w:rPr>
  </w:style>
  <w:style w:type="paragraph" w:styleId="TOCHeading">
    <w:name w:val="TOC Heading"/>
    <w:basedOn w:val="Heading1"/>
    <w:next w:val="Normal"/>
    <w:uiPriority w:val="99"/>
    <w:qFormat/>
    <w:rsid w:val="007F33A2"/>
    <w:pPr>
      <w:spacing w:line="259" w:lineRule="auto"/>
      <w:jc w:val="left"/>
      <w:outlineLvl w:val="9"/>
    </w:pPr>
  </w:style>
  <w:style w:type="paragraph" w:styleId="Header">
    <w:name w:val="header"/>
    <w:basedOn w:val="Normal"/>
    <w:link w:val="HeaderChar"/>
    <w:uiPriority w:val="99"/>
    <w:rsid w:val="007F33A2"/>
    <w:pPr>
      <w:tabs>
        <w:tab w:val="center" w:pos="4680"/>
        <w:tab w:val="right" w:pos="9360"/>
      </w:tabs>
      <w:spacing w:before="0"/>
      <w:ind w:left="360" w:hanging="360"/>
      <w:jc w:val="left"/>
    </w:pPr>
    <w:rPr>
      <w:sz w:val="20"/>
      <w:szCs w:val="20"/>
    </w:rPr>
  </w:style>
  <w:style w:type="character" w:customStyle="1" w:styleId="HeaderChar">
    <w:name w:val="Header Char"/>
    <w:basedOn w:val="DefaultParagraphFont"/>
    <w:link w:val="Header"/>
    <w:uiPriority w:val="99"/>
    <w:locked/>
    <w:rsid w:val="007F33A2"/>
    <w:rPr>
      <w:rFonts w:ascii="Calibri" w:hAnsi="Calibri"/>
    </w:rPr>
  </w:style>
  <w:style w:type="table" w:styleId="TableGrid">
    <w:name w:val="Table Grid"/>
    <w:basedOn w:val="TableNormal"/>
    <w:uiPriority w:val="99"/>
    <w:rsid w:val="001316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1">
    <w:name w:val="Grid Table 1 Light - Accent 11"/>
    <w:uiPriority w:val="99"/>
    <w:rsid w:val="00131617"/>
    <w:rPr>
      <w:sz w:val="20"/>
      <w:szCs w:val="20"/>
    </w:rPr>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style>
  <w:style w:type="table" w:customStyle="1" w:styleId="GridTable3-Accent11">
    <w:name w:val="Grid Table 3 - Accent 11"/>
    <w:uiPriority w:val="99"/>
    <w:rsid w:val="00131617"/>
    <w:rPr>
      <w:sz w:val="20"/>
      <w:szCs w:val="20"/>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1"/>
    <w:uiPriority w:val="99"/>
    <w:rsid w:val="006318AB"/>
    <w:pPr>
      <w:spacing w:before="0" w:line="276"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uiPriority w:val="99"/>
    <w:semiHidden/>
    <w:rsid w:val="00C75766"/>
    <w:rPr>
      <w:sz w:val="20"/>
      <w:szCs w:val="20"/>
    </w:rPr>
  </w:style>
  <w:style w:type="character" w:customStyle="1" w:styleId="FootnoteTextChar10">
    <w:name w:val="Footnote Text Char10"/>
    <w:aliases w:val="Footnote Text Char Char Char1 Char10,Char Char Char Char Char11,Char Char Char1 Char10,Char Char Char Char Char Char Char10,Footnote Text Char Char Char Char Char10,Char Char Char Char Char1 Char10,Char Char Char Char19,f Char10"/>
    <w:uiPriority w:val="99"/>
    <w:rPr>
      <w:sz w:val="20"/>
    </w:rPr>
  </w:style>
  <w:style w:type="character" w:customStyle="1" w:styleId="FootnoteTextChar9">
    <w:name w:val="Footnote Text Char9"/>
    <w:aliases w:val="Footnote Text Char Char Char1 Char9,Char Char Char Char Char10,Char Char Char1 Char9,Char Char Char Char Char Char Char9,Footnote Text Char Char Char Char Char9,Char Char Char Char Char1 Char9,Char Char Char Char18,f Char9,fn Char9"/>
    <w:uiPriority w:val="99"/>
    <w:semiHidden/>
    <w:locked/>
    <w:rsid w:val="00EE7635"/>
    <w:rPr>
      <w:sz w:val="20"/>
    </w:rPr>
  </w:style>
  <w:style w:type="character" w:customStyle="1" w:styleId="FootnoteTextChar8">
    <w:name w:val="Footnote Text Char8"/>
    <w:aliases w:val="Footnote Text Char Char Char1 Char8,Char Char Char Char Char9,Char Char Char1 Char8,Char Char Char Char Char Char Char8,Footnote Text Char Char Char Char Char8,Char Char Char Char Char1 Char8,Char Char Char Char17,f Char8,fn Char8"/>
    <w:uiPriority w:val="99"/>
    <w:semiHidden/>
    <w:locked/>
    <w:rsid w:val="00294E19"/>
    <w:rPr>
      <w:sz w:val="20"/>
    </w:rPr>
  </w:style>
  <w:style w:type="character" w:customStyle="1" w:styleId="FootnoteTextChar7">
    <w:name w:val="Footnote Text Char7"/>
    <w:aliases w:val="Footnote Text Char Char Char1 Char7,Char Char Char Char Char8,Char Char Char1 Char7,Char Char Char Char Char Char Char7,Footnote Text Char Char Char Char Char7,Char Char Char Char Char1 Char7,Char Char Char Char16,f Char7,fn Char7"/>
    <w:uiPriority w:val="99"/>
    <w:semiHidden/>
    <w:locked/>
    <w:rsid w:val="00AF63D2"/>
    <w:rPr>
      <w:sz w:val="20"/>
    </w:rPr>
  </w:style>
  <w:style w:type="character" w:customStyle="1" w:styleId="FootnoteTextChar6">
    <w:name w:val="Footnote Text Char6"/>
    <w:aliases w:val="Footnote Text Char Char Char1 Char6,Char Char Char Char Char7,Char Char Char1 Char6,Char Char Char Char Char Char Char6,Footnote Text Char Char Char Char Char6,Char Char Char Char Char1 Char6,Char Char Char Char15,f Char6,fn Char6"/>
    <w:uiPriority w:val="99"/>
    <w:semiHidden/>
    <w:rsid w:val="002B7106"/>
    <w:rPr>
      <w:sz w:val="20"/>
    </w:rPr>
  </w:style>
  <w:style w:type="character" w:customStyle="1" w:styleId="FootnoteTextChar5">
    <w:name w:val="Footnote Text Char5"/>
    <w:aliases w:val="Footnote Text Char Char Char1 Char5,Char Char Char Char Char6,Char Char Char1 Char5,Char Char Char Char Char Char Char5,Footnote Text Char Char Char Char Char5,Char Char Char Char Char1 Char5,Char Char Char Char14,f Char5,fn Char5"/>
    <w:uiPriority w:val="99"/>
    <w:semiHidden/>
    <w:rsid w:val="00EA303E"/>
    <w:rPr>
      <w:sz w:val="20"/>
    </w:rPr>
  </w:style>
  <w:style w:type="character" w:customStyle="1" w:styleId="FootnoteTextChar4">
    <w:name w:val="Footnote Text Char4"/>
    <w:aliases w:val="Footnote Text Char Char Char1 Char4,Char Char Char Char Char5,Char Char Char1 Char4,Char Char Char Char Char Char Char4,Footnote Text Char Char Char Char Char4,Char Char Char Char Char1 Char4,Char Char Char Char13,f Char4,fn Char4"/>
    <w:uiPriority w:val="99"/>
    <w:semiHidden/>
    <w:locked/>
    <w:rsid w:val="006E4A7A"/>
    <w:rPr>
      <w:sz w:val="20"/>
    </w:rPr>
  </w:style>
  <w:style w:type="character" w:customStyle="1" w:styleId="FootnoteTextChar3">
    <w:name w:val="Footnote Text Char3"/>
    <w:aliases w:val="Footnote Text Char Char Char1 Char3,Char Char Char Char Char4,Char Char Char1 Char3,Char Char Char Char Char Char Char3,Footnote Text Char Char Char Char Char3,Char Char Char Char Char1 Char3,Char Char Char Char12,f Char3,fn Char3"/>
    <w:uiPriority w:val="99"/>
    <w:semiHidden/>
    <w:locked/>
    <w:rsid w:val="00705997"/>
    <w:rPr>
      <w:sz w:val="20"/>
    </w:rPr>
  </w:style>
  <w:style w:type="character" w:customStyle="1" w:styleId="FootnoteTextChar2">
    <w:name w:val="Footnote Text Char2"/>
    <w:aliases w:val="Footnote Text Char Char Char1 Char2,Char Char Char Char Char3,Char Char Char1 Char2,Char Char Char Char Char Char Char2,Footnote Text Char Char Char Char Char2,Char Char Char Char Char1 Char2,Char Char Char Char11,f Char2,fn Char2"/>
    <w:uiPriority w:val="99"/>
    <w:semiHidden/>
    <w:rsid w:val="006318AB"/>
    <w:rPr>
      <w:sz w:val="20"/>
    </w:rPr>
  </w:style>
  <w:style w:type="character" w:customStyle="1" w:styleId="FootnoteTextChar1">
    <w:name w:val="Footnote Text Char1"/>
    <w:aliases w:val="Footnote Text Char Char Char1 Char1,Char Char Char Char Char2,Char Char Char1 Char1,Char Char Char Char Char Char Char1,Footnote Text Char Char Char Char Char1,Char Char Char Char Char1 Char1,Char Char Char Char2,f Char1,fn Char1"/>
    <w:link w:val="FootnoteText"/>
    <w:uiPriority w:val="99"/>
    <w:locked/>
    <w:rsid w:val="006318AB"/>
    <w:rPr>
      <w:rFonts w:ascii="Calibri" w:hAnsi="Calibri"/>
      <w:sz w:val="20"/>
    </w:rPr>
  </w:style>
  <w:style w:type="character" w:styleId="FootnoteReference">
    <w:name w:val="footnote reference"/>
    <w:aliases w:val="BVI fnr,ftref,Footnotes refss,Fussnota,Footnote symbol,Footnote reference number,Times 10 Point,Exposant 3 Point,EN Footnote Reference,note TESI,Footnote Reference Superscript,Zchn Zchn,Footnote number,Footnote Reference Num"/>
    <w:basedOn w:val="DefaultParagraphFont"/>
    <w:link w:val="BVIfnrChar1Char"/>
    <w:uiPriority w:val="99"/>
    <w:locked/>
    <w:rsid w:val="006318AB"/>
    <w:rPr>
      <w:rFonts w:ascii="Calibri" w:hAnsi="Calibri" w:cs="Times New Roman"/>
      <w:sz w:val="20"/>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6318AB"/>
    <w:pPr>
      <w:spacing w:after="120" w:line="240" w:lineRule="exact"/>
      <w:jc w:val="left"/>
    </w:pPr>
    <w:rPr>
      <w:sz w:val="20"/>
      <w:szCs w:val="20"/>
      <w:vertAlign w:val="superscript"/>
    </w:rPr>
  </w:style>
  <w:style w:type="character" w:customStyle="1" w:styleId="ResponsecategsCharChar">
    <w:name w:val="Response categs..... Char Char"/>
    <w:link w:val="ResponsecategsChar"/>
    <w:uiPriority w:val="99"/>
    <w:locked/>
    <w:rsid w:val="00D82B28"/>
    <w:rPr>
      <w:rFonts w:ascii="Arial" w:hAnsi="Arial"/>
      <w:sz w:val="20"/>
      <w:lang w:eastAsia="ja-JP"/>
    </w:rPr>
  </w:style>
  <w:style w:type="paragraph" w:customStyle="1" w:styleId="ResponsecategsChar">
    <w:name w:val="Response categs..... Char"/>
    <w:basedOn w:val="Normal"/>
    <w:link w:val="ResponsecategsCharChar"/>
    <w:uiPriority w:val="99"/>
    <w:rsid w:val="00D82B28"/>
    <w:pPr>
      <w:tabs>
        <w:tab w:val="right" w:leader="dot" w:pos="3942"/>
      </w:tabs>
      <w:spacing w:before="0"/>
      <w:ind w:left="216" w:hanging="216"/>
      <w:jc w:val="left"/>
    </w:pPr>
    <w:rPr>
      <w:rFonts w:ascii="Arial" w:hAnsi="Arial"/>
      <w:sz w:val="20"/>
      <w:szCs w:val="20"/>
      <w:lang w:eastAsia="ja-JP"/>
    </w:rPr>
  </w:style>
  <w:style w:type="paragraph" w:styleId="ListParagraph">
    <w:name w:val="List Paragraph"/>
    <w:basedOn w:val="Normal"/>
    <w:uiPriority w:val="34"/>
    <w:qFormat/>
    <w:rsid w:val="00A7211A"/>
    <w:pPr>
      <w:ind w:left="720"/>
      <w:contextualSpacing/>
    </w:pPr>
  </w:style>
  <w:style w:type="paragraph" w:styleId="Footer">
    <w:name w:val="footer"/>
    <w:basedOn w:val="Normal"/>
    <w:link w:val="FooterChar"/>
    <w:uiPriority w:val="99"/>
    <w:rsid w:val="001401F2"/>
    <w:pPr>
      <w:tabs>
        <w:tab w:val="center" w:pos="4680"/>
        <w:tab w:val="right" w:pos="9360"/>
      </w:tabs>
      <w:spacing w:before="0"/>
    </w:pPr>
    <w:rPr>
      <w:sz w:val="20"/>
      <w:szCs w:val="20"/>
    </w:rPr>
  </w:style>
  <w:style w:type="character" w:customStyle="1" w:styleId="FooterChar">
    <w:name w:val="Footer Char"/>
    <w:basedOn w:val="DefaultParagraphFont"/>
    <w:link w:val="Footer"/>
    <w:uiPriority w:val="99"/>
    <w:locked/>
    <w:rsid w:val="001401F2"/>
  </w:style>
  <w:style w:type="paragraph" w:styleId="TOC1">
    <w:name w:val="toc 1"/>
    <w:basedOn w:val="Normal"/>
    <w:next w:val="Normal"/>
    <w:autoRedefine/>
    <w:uiPriority w:val="39"/>
    <w:rsid w:val="00727C88"/>
    <w:pPr>
      <w:spacing w:after="100"/>
    </w:pPr>
  </w:style>
  <w:style w:type="character" w:styleId="Hyperlink">
    <w:name w:val="Hyperlink"/>
    <w:basedOn w:val="DefaultParagraphFont"/>
    <w:uiPriority w:val="99"/>
    <w:rsid w:val="00727C88"/>
    <w:rPr>
      <w:rFonts w:cs="Times New Roman"/>
      <w:color w:val="0563C1"/>
      <w:u w:val="single"/>
    </w:rPr>
  </w:style>
  <w:style w:type="paragraph" w:styleId="TOC2">
    <w:name w:val="toc 2"/>
    <w:basedOn w:val="Normal"/>
    <w:next w:val="Normal"/>
    <w:autoRedefine/>
    <w:uiPriority w:val="99"/>
    <w:rsid w:val="00727CC5"/>
    <w:pPr>
      <w:spacing w:after="100"/>
      <w:ind w:left="220"/>
    </w:pPr>
  </w:style>
  <w:style w:type="paragraph" w:styleId="TOC3">
    <w:name w:val="toc 3"/>
    <w:basedOn w:val="Normal"/>
    <w:next w:val="Normal"/>
    <w:autoRedefine/>
    <w:uiPriority w:val="99"/>
    <w:rsid w:val="00727CC5"/>
    <w:pPr>
      <w:spacing w:after="100"/>
      <w:ind w:left="440"/>
    </w:pPr>
  </w:style>
  <w:style w:type="paragraph" w:customStyle="1" w:styleId="Default">
    <w:name w:val="Default"/>
    <w:uiPriority w:val="99"/>
    <w:rsid w:val="00450CF3"/>
    <w:pPr>
      <w:autoSpaceDE w:val="0"/>
      <w:autoSpaceDN w:val="0"/>
      <w:adjustRightInd w:val="0"/>
    </w:pPr>
    <w:rPr>
      <w:rFonts w:ascii="Bookman Old Style" w:eastAsia="MS Mincho" w:hAnsi="Bookman Old Style" w:cs="Bookman Old Style"/>
      <w:color w:val="000000"/>
      <w:sz w:val="24"/>
      <w:szCs w:val="24"/>
      <w:lang w:eastAsia="ja-JP"/>
    </w:rPr>
  </w:style>
  <w:style w:type="character" w:styleId="CommentReference">
    <w:name w:val="annotation reference"/>
    <w:basedOn w:val="DefaultParagraphFont"/>
    <w:uiPriority w:val="99"/>
    <w:semiHidden/>
    <w:rsid w:val="00420DED"/>
    <w:rPr>
      <w:rFonts w:cs="Times New Roman"/>
      <w:sz w:val="16"/>
    </w:rPr>
  </w:style>
  <w:style w:type="paragraph" w:styleId="CommentText">
    <w:name w:val="annotation text"/>
    <w:basedOn w:val="Normal"/>
    <w:link w:val="CommentTextChar"/>
    <w:uiPriority w:val="99"/>
    <w:semiHidden/>
    <w:rsid w:val="00420DED"/>
    <w:rPr>
      <w:sz w:val="20"/>
      <w:szCs w:val="20"/>
    </w:rPr>
  </w:style>
  <w:style w:type="character" w:customStyle="1" w:styleId="CommentTextChar">
    <w:name w:val="Comment Text Char"/>
    <w:basedOn w:val="DefaultParagraphFont"/>
    <w:link w:val="CommentText"/>
    <w:uiPriority w:val="99"/>
    <w:semiHidden/>
    <w:locked/>
    <w:rsid w:val="00420DED"/>
    <w:rPr>
      <w:sz w:val="20"/>
    </w:rPr>
  </w:style>
  <w:style w:type="paragraph" w:styleId="CommentSubject">
    <w:name w:val="annotation subject"/>
    <w:basedOn w:val="CommentText"/>
    <w:next w:val="CommentText"/>
    <w:link w:val="CommentSubjectChar"/>
    <w:uiPriority w:val="99"/>
    <w:semiHidden/>
    <w:rsid w:val="00420DED"/>
    <w:rPr>
      <w:b/>
      <w:bCs/>
    </w:rPr>
  </w:style>
  <w:style w:type="character" w:customStyle="1" w:styleId="CommentSubjectChar">
    <w:name w:val="Comment Subject Char"/>
    <w:basedOn w:val="CommentTextChar"/>
    <w:link w:val="CommentSubject"/>
    <w:uiPriority w:val="99"/>
    <w:semiHidden/>
    <w:locked/>
    <w:rsid w:val="00420DED"/>
    <w:rPr>
      <w:b/>
      <w:sz w:val="20"/>
    </w:rPr>
  </w:style>
  <w:style w:type="character" w:customStyle="1" w:styleId="CharChar6">
    <w:name w:val="Char Char6"/>
    <w:uiPriority w:val="99"/>
    <w:rsid w:val="00281EAA"/>
    <w:rPr>
      <w:rFonts w:eastAsia="Times New Roman"/>
      <w:color w:val="003366"/>
      <w:sz w:val="24"/>
      <w:lang w:eastAsia="ro-RO"/>
    </w:rPr>
  </w:style>
  <w:style w:type="paragraph" w:styleId="Revision">
    <w:name w:val="Revision"/>
    <w:hidden/>
    <w:uiPriority w:val="99"/>
    <w:semiHidden/>
    <w:rsid w:val="008172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218E22-661C-4D7A-8A2B-8ED4159F9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545</Words>
  <Characters>3166</Characters>
  <Application>Microsoft Office Word</Application>
  <DocSecurity>0</DocSecurity>
  <Lines>26</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dc:creator>
  <cp:lastModifiedBy>Alina Mirea</cp:lastModifiedBy>
  <cp:revision>8</cp:revision>
  <dcterms:created xsi:type="dcterms:W3CDTF">2017-10-11T08:12:00Z</dcterms:created>
  <dcterms:modified xsi:type="dcterms:W3CDTF">2017-10-12T11:56:00Z</dcterms:modified>
</cp:coreProperties>
</file>